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1"/>
        <w:tblW w:w="9287" w:type="dxa"/>
        <w:tblLayout w:type="fixed"/>
        <w:tblLook w:val="0000" w:firstRow="0" w:lastRow="0" w:firstColumn="0" w:lastColumn="0" w:noHBand="0" w:noVBand="0"/>
      </w:tblPr>
      <w:tblGrid>
        <w:gridCol w:w="3510"/>
        <w:gridCol w:w="5777"/>
      </w:tblGrid>
      <w:tr w:rsidR="00133F17" w:rsidRPr="00CC0061" w14:paraId="7855ED9A" w14:textId="77777777" w:rsidTr="004843EE">
        <w:tc>
          <w:tcPr>
            <w:tcW w:w="3510" w:type="dxa"/>
          </w:tcPr>
          <w:p w14:paraId="26B457BB" w14:textId="77777777" w:rsidR="00133F17" w:rsidRPr="00CC0061" w:rsidRDefault="004843EE" w:rsidP="004843EE">
            <w:pPr>
              <w:widowControl/>
              <w:ind w:left="-2" w:firstLineChars="0" w:firstLine="0"/>
              <w:rPr>
                <w:sz w:val="26"/>
                <w:szCs w:val="26"/>
              </w:rPr>
            </w:pPr>
            <w:r w:rsidRPr="00CC0061">
              <w:rPr>
                <w:b/>
                <w:noProof/>
                <w:sz w:val="26"/>
                <w:szCs w:val="26"/>
                <w:lang w:val="en-US" w:eastAsia="en-US"/>
              </w:rPr>
              <mc:AlternateContent>
                <mc:Choice Requires="wps">
                  <w:drawing>
                    <wp:anchor distT="0" distB="0" distL="114300" distR="114300" simplePos="0" relativeHeight="251667456" behindDoc="0" locked="0" layoutInCell="1" allowOverlap="1" wp14:anchorId="61813BC0" wp14:editId="35DE0E84">
                      <wp:simplePos x="0" y="0"/>
                      <wp:positionH relativeFrom="column">
                        <wp:posOffset>567690</wp:posOffset>
                      </wp:positionH>
                      <wp:positionV relativeFrom="paragraph">
                        <wp:posOffset>419100</wp:posOffset>
                      </wp:positionV>
                      <wp:extent cx="6381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38175"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D67E3C3"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4.7pt,33pt" to="94.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" strokecolor="black [3213]" strokeweight=".25pt"/>
                  </w:pict>
                </mc:Fallback>
              </mc:AlternateContent>
            </w:r>
            <w:r w:rsidR="008842DA" w:rsidRPr="00CC0061">
              <w:rPr>
                <w:b/>
                <w:sz w:val="26"/>
                <w:szCs w:val="26"/>
              </w:rPr>
              <w:t>NGÂN HÀNG NHÀ NƯỚC</w:t>
            </w:r>
            <w:r w:rsidR="008842DA" w:rsidRPr="00CC0061">
              <w:rPr>
                <w:b/>
                <w:sz w:val="26"/>
                <w:szCs w:val="26"/>
              </w:rPr>
              <w:br/>
            </w:r>
            <w:r w:rsidRPr="00CC0061">
              <w:rPr>
                <w:b/>
                <w:sz w:val="26"/>
                <w:szCs w:val="26"/>
                <w:lang w:val="en-US"/>
              </w:rPr>
              <w:t xml:space="preserve">            </w:t>
            </w:r>
            <w:r w:rsidR="008842DA" w:rsidRPr="00CC0061">
              <w:rPr>
                <w:b/>
                <w:sz w:val="26"/>
                <w:szCs w:val="26"/>
              </w:rPr>
              <w:t>VIỆT NAM</w:t>
            </w:r>
            <w:r w:rsidR="008842DA" w:rsidRPr="00CC0061">
              <w:rPr>
                <w:b/>
                <w:sz w:val="26"/>
                <w:szCs w:val="26"/>
              </w:rPr>
              <w:br/>
            </w:r>
          </w:p>
        </w:tc>
        <w:tc>
          <w:tcPr>
            <w:tcW w:w="5777" w:type="dxa"/>
          </w:tcPr>
          <w:p w14:paraId="6F966963" w14:textId="77777777" w:rsidR="00133F17" w:rsidRPr="00CC0061" w:rsidRDefault="004843EE" w:rsidP="004843EE">
            <w:pPr>
              <w:widowControl/>
              <w:ind w:left="-2" w:firstLineChars="0" w:firstLine="0"/>
              <w:rPr>
                <w:sz w:val="26"/>
                <w:szCs w:val="26"/>
              </w:rPr>
            </w:pPr>
            <w:r w:rsidRPr="00CC0061">
              <w:rPr>
                <w:noProof/>
                <w:lang w:val="en-US" w:eastAsia="en-US"/>
              </w:rPr>
              <mc:AlternateContent>
                <mc:Choice Requires="wps">
                  <w:drawing>
                    <wp:anchor distT="0" distB="0" distL="114300" distR="114300" simplePos="0" relativeHeight="251652096" behindDoc="0" locked="0" layoutInCell="1" hidden="0" allowOverlap="1" wp14:anchorId="22DFA8A9" wp14:editId="7956128A">
                      <wp:simplePos x="0" y="0"/>
                      <wp:positionH relativeFrom="column">
                        <wp:posOffset>774065</wp:posOffset>
                      </wp:positionH>
                      <wp:positionV relativeFrom="paragraph">
                        <wp:posOffset>410210</wp:posOffset>
                      </wp:positionV>
                      <wp:extent cx="1955800" cy="0"/>
                      <wp:effectExtent l="0" t="0" r="25400" b="19050"/>
                      <wp:wrapNone/>
                      <wp:docPr id="7" name="Straight Arrow Connector 7"/>
                      <wp:cNvGraphicFramePr/>
                      <a:graphic xmlns:a="http://schemas.openxmlformats.org/drawingml/2006/main">
                        <a:graphicData uri="http://schemas.microsoft.com/office/word/2010/wordprocessingShape">
                          <wps:wsp>
                            <wps:cNvCnPr/>
                            <wps:spPr>
                              <a:xfrm>
                                <a:off x="0" y="0"/>
                                <a:ext cx="1955800" cy="0"/>
                              </a:xfrm>
                              <a:prstGeom prst="straightConnector1">
                                <a:avLst/>
                              </a:prstGeom>
                              <a:noFill/>
                              <a:ln w="3175" cap="flat" cmpd="sng">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4C396D21" id="_x0000_t32" coordsize="21600,21600" o:spt="32" o:oned="t" path="m,l21600,21600e" filled="f">
                      <v:path arrowok="t" fillok="f" o:connecttype="none"/>
                      <o:lock v:ext="edit" shapetype="t"/>
                    </v:shapetype>
                    <v:shape id="Straight Arrow Connector 7" o:spid="_x0000_s1026" type="#_x0000_t32" style="position:absolute;margin-left:60.95pt;margin-top:32.3pt;width:154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" strokeweight=".25pt">
                      <v:stroke startarrowwidth="narrow" startarrowlength="short" endarrowwidth="narrow" endarrowlength="short" joinstyle="miter"/>
                    </v:shape>
                  </w:pict>
                </mc:Fallback>
              </mc:AlternateContent>
            </w:r>
            <w:r w:rsidR="008842DA" w:rsidRPr="00CC0061">
              <w:rPr>
                <w:b/>
                <w:sz w:val="26"/>
                <w:szCs w:val="26"/>
              </w:rPr>
              <w:t>CỘNG HÒA XÃ HỘI CHỦ NGHĨA VIỆT NAM</w:t>
            </w:r>
            <w:r w:rsidR="008842DA" w:rsidRPr="00CC0061">
              <w:rPr>
                <w:b/>
                <w:sz w:val="26"/>
                <w:szCs w:val="26"/>
              </w:rPr>
              <w:br/>
            </w:r>
            <w:r w:rsidRPr="00CC0061">
              <w:rPr>
                <w:b/>
                <w:sz w:val="26"/>
                <w:szCs w:val="26"/>
                <w:lang w:val="en-US"/>
              </w:rPr>
              <w:t xml:space="preserve">                 </w:t>
            </w:r>
            <w:r w:rsidR="008842DA" w:rsidRPr="00CC0061">
              <w:rPr>
                <w:b/>
                <w:sz w:val="26"/>
                <w:szCs w:val="26"/>
              </w:rPr>
              <w:t xml:space="preserve">Độc lập - Tự do - Hạnh phúc </w:t>
            </w:r>
            <w:r w:rsidR="008842DA" w:rsidRPr="00CC0061">
              <w:rPr>
                <w:b/>
                <w:sz w:val="26"/>
                <w:szCs w:val="26"/>
              </w:rPr>
              <w:br/>
            </w:r>
          </w:p>
        </w:tc>
      </w:tr>
      <w:tr w:rsidR="00133F17" w:rsidRPr="00CC0061" w14:paraId="6C20BA64" w14:textId="77777777" w:rsidTr="004843EE">
        <w:tc>
          <w:tcPr>
            <w:tcW w:w="3510" w:type="dxa"/>
          </w:tcPr>
          <w:p w14:paraId="138929DB" w14:textId="2ADA89B8" w:rsidR="00133F17" w:rsidRPr="005449B2" w:rsidRDefault="008842DA" w:rsidP="004843EE">
            <w:pPr>
              <w:widowControl/>
              <w:ind w:left="-2" w:firstLineChars="0" w:firstLine="0"/>
              <w:rPr>
                <w:sz w:val="28"/>
                <w:szCs w:val="28"/>
              </w:rPr>
            </w:pPr>
            <w:r w:rsidRPr="005449B2">
              <w:rPr>
                <w:sz w:val="28"/>
                <w:szCs w:val="28"/>
              </w:rPr>
              <w:t xml:space="preserve">Số: </w:t>
            </w:r>
            <w:r w:rsidR="00EE2F7F">
              <w:rPr>
                <w:sz w:val="28"/>
                <w:szCs w:val="28"/>
                <w:lang w:val="en-US"/>
              </w:rPr>
              <w:t>11</w:t>
            </w:r>
            <w:r w:rsidRPr="005449B2">
              <w:rPr>
                <w:sz w:val="28"/>
                <w:szCs w:val="28"/>
              </w:rPr>
              <w:t>/2021/TT-NHNN</w:t>
            </w:r>
          </w:p>
        </w:tc>
        <w:tc>
          <w:tcPr>
            <w:tcW w:w="5777" w:type="dxa"/>
          </w:tcPr>
          <w:p w14:paraId="1017623F" w14:textId="1AC6DAB4" w:rsidR="00133F17" w:rsidRPr="005449B2" w:rsidRDefault="008842DA" w:rsidP="00ED0DE8">
            <w:pPr>
              <w:widowControl/>
              <w:ind w:left="-2" w:firstLineChars="236" w:firstLine="614"/>
              <w:jc w:val="center"/>
              <w:rPr>
                <w:i/>
                <w:sz w:val="28"/>
                <w:szCs w:val="28"/>
              </w:rPr>
            </w:pPr>
            <w:r w:rsidRPr="005449B2">
              <w:rPr>
                <w:i/>
                <w:sz w:val="26"/>
                <w:szCs w:val="26"/>
              </w:rPr>
              <w:t xml:space="preserve">        </w:t>
            </w:r>
            <w:r w:rsidRPr="005449B2">
              <w:rPr>
                <w:i/>
                <w:sz w:val="28"/>
                <w:szCs w:val="28"/>
              </w:rPr>
              <w:t xml:space="preserve">Hà Nội, ngày </w:t>
            </w:r>
            <w:r w:rsidR="00EE2F7F">
              <w:rPr>
                <w:i/>
                <w:sz w:val="28"/>
                <w:szCs w:val="28"/>
                <w:lang w:val="en-US"/>
              </w:rPr>
              <w:t>30</w:t>
            </w:r>
            <w:r w:rsidRPr="005449B2">
              <w:rPr>
                <w:i/>
                <w:sz w:val="28"/>
                <w:szCs w:val="28"/>
              </w:rPr>
              <w:t xml:space="preserve">  tháng  </w:t>
            </w:r>
            <w:r w:rsidR="00EE2F7F">
              <w:rPr>
                <w:i/>
                <w:sz w:val="28"/>
                <w:szCs w:val="28"/>
                <w:lang w:val="en-US"/>
              </w:rPr>
              <w:t>7</w:t>
            </w:r>
            <w:r w:rsidRPr="005449B2">
              <w:rPr>
                <w:i/>
                <w:sz w:val="28"/>
                <w:szCs w:val="28"/>
              </w:rPr>
              <w:t xml:space="preserve"> năm 2021</w:t>
            </w:r>
          </w:p>
        </w:tc>
      </w:tr>
    </w:tbl>
    <w:p w14:paraId="3E9B6E50" w14:textId="77777777" w:rsidR="00133F17" w:rsidRDefault="00133F17" w:rsidP="00ED0DE8">
      <w:pPr>
        <w:widowControl/>
        <w:spacing w:before="120" w:after="120"/>
        <w:ind w:left="-2" w:firstLineChars="236" w:firstLine="661"/>
        <w:jc w:val="both"/>
        <w:rPr>
          <w:rFonts w:ascii="Times New Roman" w:eastAsia="Times New Roman" w:hAnsi="Times New Roman" w:cs="Times New Roman"/>
          <w:sz w:val="28"/>
          <w:szCs w:val="28"/>
        </w:rPr>
      </w:pPr>
    </w:p>
    <w:p w14:paraId="6BE3C0C3" w14:textId="77777777" w:rsidR="005449B2" w:rsidRDefault="005449B2" w:rsidP="00ED0DE8">
      <w:pPr>
        <w:widowControl/>
        <w:spacing w:before="120" w:after="120"/>
        <w:ind w:left="-2" w:firstLineChars="236" w:firstLine="661"/>
        <w:jc w:val="both"/>
        <w:rPr>
          <w:rFonts w:ascii="Times New Roman" w:eastAsia="Times New Roman" w:hAnsi="Times New Roman" w:cs="Times New Roman"/>
          <w:sz w:val="28"/>
          <w:szCs w:val="28"/>
          <w:lang w:val="en-US"/>
        </w:rPr>
      </w:pPr>
    </w:p>
    <w:p w14:paraId="1B66E08B" w14:textId="77777777" w:rsidR="00B7702B" w:rsidRPr="00B7702B" w:rsidRDefault="00B7702B" w:rsidP="00ED0DE8">
      <w:pPr>
        <w:widowControl/>
        <w:spacing w:before="120" w:after="120"/>
        <w:ind w:left="-2" w:firstLineChars="236" w:firstLine="661"/>
        <w:jc w:val="both"/>
        <w:rPr>
          <w:rFonts w:ascii="Times New Roman" w:eastAsia="Times New Roman" w:hAnsi="Times New Roman" w:cs="Times New Roman"/>
          <w:sz w:val="28"/>
          <w:szCs w:val="28"/>
          <w:lang w:val="en-US"/>
        </w:rPr>
      </w:pPr>
    </w:p>
    <w:p w14:paraId="54C0F6F5" w14:textId="77777777" w:rsidR="00133F17" w:rsidRPr="00CC0061" w:rsidRDefault="008842DA" w:rsidP="005449B2">
      <w:pPr>
        <w:widowControl/>
        <w:ind w:left="-2" w:firstLineChars="0" w:firstLine="2"/>
        <w:jc w:val="center"/>
        <w:rPr>
          <w:rFonts w:ascii="Times New Roman" w:eastAsia="Times New Roman" w:hAnsi="Times New Roman" w:cs="Times New Roman"/>
          <w:sz w:val="28"/>
          <w:szCs w:val="28"/>
        </w:rPr>
      </w:pPr>
      <w:r w:rsidRPr="00CC0061">
        <w:rPr>
          <w:rFonts w:ascii="Times New Roman" w:eastAsia="Times New Roman" w:hAnsi="Times New Roman" w:cs="Times New Roman"/>
          <w:b/>
          <w:sz w:val="28"/>
          <w:szCs w:val="28"/>
        </w:rPr>
        <w:t>THÔNG TƯ</w:t>
      </w:r>
    </w:p>
    <w:p w14:paraId="09CEF344" w14:textId="77777777" w:rsidR="00133F17" w:rsidRPr="00CC0061" w:rsidRDefault="008842DA" w:rsidP="005449B2">
      <w:pPr>
        <w:widowControl/>
        <w:ind w:left="-2" w:firstLineChars="0" w:firstLine="2"/>
        <w:jc w:val="center"/>
        <w:rPr>
          <w:rFonts w:ascii="Times New Roman" w:eastAsia="Times New Roman" w:hAnsi="Times New Roman" w:cs="Times New Roman"/>
          <w:sz w:val="28"/>
          <w:szCs w:val="28"/>
        </w:rPr>
      </w:pPr>
      <w:r w:rsidRPr="00CC0061">
        <w:rPr>
          <w:rFonts w:ascii="Times New Roman" w:eastAsia="Times New Roman" w:hAnsi="Times New Roman" w:cs="Times New Roman"/>
          <w:b/>
          <w:sz w:val="28"/>
          <w:szCs w:val="28"/>
        </w:rPr>
        <w:t>Quy định về phân loại tài sản có, mức trích, phương pháp trích lập dự phòng rủi ro và việc sử dụng dự phòng để xử lý rủi ro trong hoạt động của tổ chức tín dụng, chi nhánh ngân hàng nước ngoài</w:t>
      </w:r>
    </w:p>
    <w:p w14:paraId="63573E82" w14:textId="7AB1A4FD" w:rsidR="00133F17" w:rsidRPr="00CC0061" w:rsidRDefault="00096B8E" w:rsidP="00096B8E">
      <w:pPr>
        <w:widowControl/>
        <w:tabs>
          <w:tab w:val="left" w:pos="4353"/>
          <w:tab w:val="center" w:pos="4817"/>
        </w:tabs>
        <w:ind w:left="-2" w:firstLineChars="236" w:firstLine="661"/>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2505F405" w14:textId="77777777" w:rsidR="00133F17" w:rsidRPr="005449B2" w:rsidRDefault="008842DA" w:rsidP="00B7702B">
      <w:pPr>
        <w:spacing w:before="120" w:after="120" w:line="240" w:lineRule="auto"/>
        <w:ind w:left="-2" w:right="40" w:firstLineChars="236" w:firstLine="661"/>
        <w:jc w:val="both"/>
        <w:rPr>
          <w:rFonts w:ascii="Times New Roman" w:eastAsia="Times New Roman" w:hAnsi="Times New Roman" w:cs="Times New Roman"/>
          <w:i/>
          <w:sz w:val="28"/>
          <w:szCs w:val="28"/>
        </w:rPr>
      </w:pPr>
      <w:r w:rsidRPr="005449B2">
        <w:rPr>
          <w:rFonts w:ascii="Times New Roman" w:eastAsia="Times New Roman" w:hAnsi="Times New Roman" w:cs="Times New Roman"/>
          <w:i/>
          <w:sz w:val="28"/>
          <w:szCs w:val="28"/>
        </w:rPr>
        <w:t>Căn cứ Luật Ngân hàng Nhà nước Việt Nam ngày 16 tháng 6 năm 2010;</w:t>
      </w:r>
    </w:p>
    <w:p w14:paraId="706F21C8" w14:textId="77777777" w:rsidR="00133F17" w:rsidRPr="005449B2" w:rsidRDefault="008842DA" w:rsidP="00ED0DE8">
      <w:pPr>
        <w:spacing w:before="120" w:after="120" w:line="240" w:lineRule="auto"/>
        <w:ind w:left="-2" w:right="40" w:firstLineChars="236" w:firstLine="661"/>
        <w:jc w:val="both"/>
        <w:rPr>
          <w:rFonts w:ascii="Times New Roman" w:eastAsia="Times New Roman" w:hAnsi="Times New Roman" w:cs="Times New Roman"/>
          <w:i/>
          <w:sz w:val="28"/>
          <w:szCs w:val="28"/>
        </w:rPr>
      </w:pPr>
      <w:r w:rsidRPr="005449B2">
        <w:rPr>
          <w:rFonts w:ascii="Times New Roman" w:eastAsia="Times New Roman" w:hAnsi="Times New Roman" w:cs="Times New Roman"/>
          <w:i/>
          <w:sz w:val="28"/>
          <w:szCs w:val="28"/>
        </w:rPr>
        <w:t>Căn cứ Luật Các tổ chức tín dụng ngày 16 tháng 6 năm 2010; Luật sửa đổi, bổ sung một số điều của Luật Các tổ chức tín dụng ngày 20 tháng 11 năm 2017;</w:t>
      </w:r>
    </w:p>
    <w:p w14:paraId="726FD7CF" w14:textId="77777777" w:rsidR="00133F17" w:rsidRDefault="008842DA" w:rsidP="00ED0DE8">
      <w:pPr>
        <w:spacing w:before="120" w:after="120" w:line="240" w:lineRule="auto"/>
        <w:ind w:left="-2" w:firstLineChars="236" w:firstLine="661"/>
        <w:jc w:val="both"/>
        <w:rPr>
          <w:rFonts w:ascii="Times New Roman" w:eastAsia="Times New Roman" w:hAnsi="Times New Roman" w:cs="Times New Roman"/>
          <w:i/>
          <w:sz w:val="28"/>
          <w:szCs w:val="28"/>
        </w:rPr>
      </w:pPr>
      <w:r w:rsidRPr="005449B2">
        <w:rPr>
          <w:rFonts w:ascii="Times New Roman" w:eastAsia="Times New Roman" w:hAnsi="Times New Roman" w:cs="Times New Roman"/>
          <w:i/>
          <w:sz w:val="28"/>
          <w:szCs w:val="28"/>
        </w:rPr>
        <w:t>Căn cứ Nghị định số 16/2017/NĐ-CP ngày 17 tháng 02 năm 2017 của Chính phủ quy định chức năng, nhiệm vụ, quyền hạn và cơ cấu tổ chức của Ngân hàng Nhà nước Việt Nam;</w:t>
      </w:r>
    </w:p>
    <w:p w14:paraId="47B71E9A" w14:textId="77777777" w:rsidR="005449B2" w:rsidRPr="005449B2" w:rsidRDefault="005449B2" w:rsidP="00ED0DE8">
      <w:pPr>
        <w:spacing w:before="120" w:after="120" w:line="240" w:lineRule="auto"/>
        <w:ind w:left="-2" w:firstLineChars="236" w:firstLine="661"/>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 xml:space="preserve">Căn cứ Nghị định số 93/2017/NĐ-CP ngày 07 tháng 8 năm 2017 của Chính phủ </w:t>
      </w:r>
      <w:r w:rsidRPr="005449B2">
        <w:rPr>
          <w:rFonts w:ascii="Times New Roman" w:eastAsia="Times New Roman" w:hAnsi="Times New Roman" w:cs="Times New Roman"/>
          <w:i/>
          <w:sz w:val="28"/>
          <w:szCs w:val="28"/>
          <w:lang w:val="en-US"/>
        </w:rPr>
        <w:t>về chế độ tài chính đối với tổ chức tín dụng, chi nhánh ngân hàng nước ngoài và giám sát tài chính, đánh giá hiệu quả đầu tư vốn nhà nước tại tổ chức tín dụng do Nhà nước nắm giữ 100% vốn điều lệ và t</w:t>
      </w:r>
      <w:r w:rsidR="00B7702B">
        <w:rPr>
          <w:rFonts w:ascii="Times New Roman" w:eastAsia="Times New Roman" w:hAnsi="Times New Roman" w:cs="Times New Roman"/>
          <w:i/>
          <w:sz w:val="28"/>
          <w:szCs w:val="28"/>
          <w:lang w:val="en-US"/>
        </w:rPr>
        <w:t>ổ chức tín dụng có vốn nhà nước;</w:t>
      </w:r>
    </w:p>
    <w:p w14:paraId="571DE444" w14:textId="77777777" w:rsidR="00133F17" w:rsidRPr="005449B2" w:rsidRDefault="008842DA" w:rsidP="00ED0DE8">
      <w:pPr>
        <w:spacing w:before="120" w:after="120" w:line="240" w:lineRule="auto"/>
        <w:ind w:left="-2" w:firstLineChars="236" w:firstLine="661"/>
        <w:jc w:val="both"/>
        <w:rPr>
          <w:rFonts w:ascii="Times New Roman" w:eastAsia="Times New Roman" w:hAnsi="Times New Roman" w:cs="Times New Roman"/>
          <w:i/>
          <w:sz w:val="28"/>
          <w:szCs w:val="28"/>
        </w:rPr>
      </w:pPr>
      <w:r w:rsidRPr="005449B2">
        <w:rPr>
          <w:rFonts w:ascii="Times New Roman" w:eastAsia="Times New Roman" w:hAnsi="Times New Roman" w:cs="Times New Roman"/>
          <w:i/>
          <w:sz w:val="28"/>
          <w:szCs w:val="28"/>
        </w:rPr>
        <w:t xml:space="preserve">Sau khi thống nhất với Bộ Tài chính; </w:t>
      </w:r>
    </w:p>
    <w:p w14:paraId="30CAFB3E" w14:textId="77777777" w:rsidR="00133F17" w:rsidRPr="005449B2" w:rsidRDefault="008842DA" w:rsidP="00ED0DE8">
      <w:pPr>
        <w:spacing w:before="120" w:after="120" w:line="240" w:lineRule="auto"/>
        <w:ind w:left="-2" w:firstLineChars="236" w:firstLine="661"/>
        <w:jc w:val="both"/>
        <w:rPr>
          <w:rFonts w:ascii="Times New Roman" w:eastAsia="Times New Roman" w:hAnsi="Times New Roman" w:cs="Times New Roman"/>
          <w:i/>
          <w:sz w:val="28"/>
          <w:szCs w:val="28"/>
        </w:rPr>
      </w:pPr>
      <w:r w:rsidRPr="005449B2">
        <w:rPr>
          <w:rFonts w:ascii="Times New Roman" w:eastAsia="Times New Roman" w:hAnsi="Times New Roman" w:cs="Times New Roman"/>
          <w:i/>
          <w:sz w:val="28"/>
          <w:szCs w:val="28"/>
        </w:rPr>
        <w:t>Theo đề nghị của Chánh Thanh tra, giám sát ngân hàng;</w:t>
      </w:r>
    </w:p>
    <w:p w14:paraId="76153AA2" w14:textId="77777777" w:rsidR="00133F17" w:rsidRPr="005449B2" w:rsidRDefault="008842DA" w:rsidP="00ED0DE8">
      <w:pPr>
        <w:widowControl/>
        <w:spacing w:before="120" w:after="120" w:line="240" w:lineRule="auto"/>
        <w:ind w:left="-2" w:firstLineChars="236" w:firstLine="661"/>
        <w:jc w:val="both"/>
        <w:rPr>
          <w:rFonts w:ascii="Times New Roman" w:eastAsia="Times New Roman" w:hAnsi="Times New Roman" w:cs="Times New Roman"/>
          <w:i/>
          <w:sz w:val="28"/>
          <w:szCs w:val="28"/>
          <w:lang w:val="en-US"/>
        </w:rPr>
      </w:pPr>
      <w:r w:rsidRPr="005449B2">
        <w:rPr>
          <w:rFonts w:ascii="Times New Roman" w:eastAsia="Times New Roman" w:hAnsi="Times New Roman" w:cs="Times New Roman"/>
          <w:i/>
          <w:sz w:val="28"/>
          <w:szCs w:val="28"/>
        </w:rPr>
        <w:t xml:space="preserve">Thống đốc Ngân hàng Nhà nước </w:t>
      </w:r>
      <w:r w:rsidR="005C1F90" w:rsidRPr="005449B2">
        <w:rPr>
          <w:rFonts w:ascii="Times New Roman" w:eastAsia="Times New Roman" w:hAnsi="Times New Roman" w:cs="Times New Roman"/>
          <w:i/>
          <w:sz w:val="28"/>
          <w:szCs w:val="28"/>
          <w:lang w:val="en-US"/>
        </w:rPr>
        <w:t xml:space="preserve">Việt Nam </w:t>
      </w:r>
      <w:r w:rsidRPr="005449B2">
        <w:rPr>
          <w:rFonts w:ascii="Times New Roman" w:eastAsia="Times New Roman" w:hAnsi="Times New Roman" w:cs="Times New Roman"/>
          <w:i/>
          <w:sz w:val="28"/>
          <w:szCs w:val="28"/>
        </w:rPr>
        <w:t>ban hành Thông tư quy định về phân loại tài sản có, mức trích, phương pháp trích lập dự phòng rủi ro và việc sử dụng dự phòng để xử l</w:t>
      </w:r>
      <w:r w:rsidR="005C1F90" w:rsidRPr="005449B2">
        <w:rPr>
          <w:rFonts w:ascii="Times New Roman" w:eastAsia="Times New Roman" w:hAnsi="Times New Roman" w:cs="Times New Roman"/>
          <w:i/>
          <w:sz w:val="28"/>
          <w:szCs w:val="28"/>
        </w:rPr>
        <w:t xml:space="preserve">ý rủi ro trong hoạt động </w:t>
      </w:r>
      <w:r w:rsidR="005C1F90" w:rsidRPr="005449B2">
        <w:rPr>
          <w:rFonts w:ascii="Times New Roman" w:eastAsia="Times New Roman" w:hAnsi="Times New Roman" w:cs="Times New Roman"/>
          <w:i/>
          <w:sz w:val="28"/>
          <w:szCs w:val="28"/>
          <w:lang w:val="en-US"/>
        </w:rPr>
        <w:t>của</w:t>
      </w:r>
      <w:r w:rsidRPr="005449B2">
        <w:rPr>
          <w:rFonts w:ascii="Times New Roman" w:eastAsia="Times New Roman" w:hAnsi="Times New Roman" w:cs="Times New Roman"/>
          <w:i/>
          <w:sz w:val="28"/>
          <w:szCs w:val="28"/>
        </w:rPr>
        <w:t xml:space="preserve"> tổ chức tín dụng, chi nhánh ngân hàng nước ngoài</w:t>
      </w:r>
      <w:bookmarkStart w:id="0" w:name="bookmark=id.gjdgxs" w:colFirst="0" w:colLast="0"/>
      <w:bookmarkEnd w:id="0"/>
      <w:r w:rsidR="005C1F90" w:rsidRPr="005449B2">
        <w:rPr>
          <w:rFonts w:ascii="Times New Roman" w:eastAsia="Times New Roman" w:hAnsi="Times New Roman" w:cs="Times New Roman"/>
          <w:i/>
          <w:sz w:val="28"/>
          <w:szCs w:val="28"/>
          <w:lang w:val="en-US"/>
        </w:rPr>
        <w:t>.</w:t>
      </w:r>
    </w:p>
    <w:p w14:paraId="27775323" w14:textId="77777777" w:rsidR="00133F17" w:rsidRPr="00CC0061" w:rsidRDefault="008842DA" w:rsidP="005449B2">
      <w:pPr>
        <w:widowControl/>
        <w:spacing w:before="120" w:after="120" w:line="240" w:lineRule="auto"/>
        <w:ind w:left="-2" w:firstLineChars="0" w:firstLine="2"/>
        <w:jc w:val="center"/>
        <w:rPr>
          <w:rFonts w:ascii="Times New Roman" w:eastAsia="Times New Roman" w:hAnsi="Times New Roman" w:cs="Times New Roman"/>
          <w:sz w:val="28"/>
          <w:szCs w:val="28"/>
        </w:rPr>
      </w:pPr>
      <w:r w:rsidRPr="00CC0061">
        <w:rPr>
          <w:rFonts w:ascii="Times New Roman" w:eastAsia="Times New Roman" w:hAnsi="Times New Roman" w:cs="Times New Roman"/>
          <w:b/>
          <w:sz w:val="28"/>
          <w:szCs w:val="28"/>
        </w:rPr>
        <w:t>Chương I</w:t>
      </w:r>
      <w:bookmarkStart w:id="1" w:name="bookmark=id.30j0zll" w:colFirst="0" w:colLast="0"/>
      <w:bookmarkEnd w:id="1"/>
    </w:p>
    <w:p w14:paraId="27BD29FA" w14:textId="77777777" w:rsidR="00133F17" w:rsidRPr="00CC0061" w:rsidRDefault="008842DA" w:rsidP="005449B2">
      <w:pPr>
        <w:widowControl/>
        <w:spacing w:before="120" w:after="120" w:line="240" w:lineRule="auto"/>
        <w:ind w:left="-2" w:firstLineChars="0" w:firstLine="2"/>
        <w:jc w:val="center"/>
        <w:rPr>
          <w:rFonts w:ascii="Times New Roman" w:eastAsia="Times New Roman" w:hAnsi="Times New Roman" w:cs="Times New Roman"/>
          <w:sz w:val="28"/>
          <w:szCs w:val="28"/>
        </w:rPr>
      </w:pPr>
      <w:r w:rsidRPr="00CC0061">
        <w:rPr>
          <w:rFonts w:ascii="Times New Roman" w:eastAsia="Times New Roman" w:hAnsi="Times New Roman" w:cs="Times New Roman"/>
          <w:b/>
          <w:sz w:val="28"/>
          <w:szCs w:val="28"/>
        </w:rPr>
        <w:t>QUY ĐỊNH CHUNG</w:t>
      </w:r>
    </w:p>
    <w:p w14:paraId="1F002182" w14:textId="77777777" w:rsidR="00133F17" w:rsidRPr="00CC0061" w:rsidRDefault="008842DA" w:rsidP="00DF2532">
      <w:pPr>
        <w:widowControl/>
        <w:spacing w:before="120" w:after="120" w:line="240" w:lineRule="auto"/>
        <w:ind w:left="-2" w:firstLineChars="202" w:firstLine="568"/>
        <w:jc w:val="both"/>
        <w:rPr>
          <w:rFonts w:ascii="Times New Roman" w:eastAsia="Times New Roman" w:hAnsi="Times New Roman" w:cs="Times New Roman"/>
          <w:sz w:val="28"/>
          <w:szCs w:val="28"/>
        </w:rPr>
      </w:pPr>
      <w:bookmarkStart w:id="2" w:name="bookmark=id.1fob9te" w:colFirst="0" w:colLast="0"/>
      <w:bookmarkEnd w:id="2"/>
      <w:r w:rsidRPr="00CC0061">
        <w:rPr>
          <w:rFonts w:ascii="Times New Roman" w:eastAsia="Times New Roman" w:hAnsi="Times New Roman" w:cs="Times New Roman"/>
          <w:b/>
          <w:sz w:val="28"/>
          <w:szCs w:val="28"/>
        </w:rPr>
        <w:t>Điều 1. Phạm vi điều chỉnh</w:t>
      </w:r>
    </w:p>
    <w:p w14:paraId="631228DA"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1. Thông tư này quy định về việc phân loại, mức trích, phương pháp trích lập dự phòng rủi ro và việc sử dụng dự phòng để xử lý rủi ro tín dụng trong hoạt động ngân hàng đối với các tài sản có (sau đây gọi tắt là nợ) phát sinh từ các hoạt động sau:</w:t>
      </w:r>
    </w:p>
    <w:p w14:paraId="4AB62EFA"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a) Cho vay;</w:t>
      </w:r>
    </w:p>
    <w:p w14:paraId="4A35095B"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b) Cho thuê tài chính;</w:t>
      </w:r>
    </w:p>
    <w:p w14:paraId="6FB4CE68"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c) Chiết khấu, tái chiết khấu công cụ chuyển nhượng và giấy tờ có giá khác;</w:t>
      </w:r>
    </w:p>
    <w:p w14:paraId="065F70A2"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lastRenderedPageBreak/>
        <w:t>d) Bao thanh toán;</w:t>
      </w:r>
    </w:p>
    <w:p w14:paraId="1670AC47"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đ) Cấp tín dụng dưới hình thức phát hành thẻ tín dụng;</w:t>
      </w:r>
    </w:p>
    <w:p w14:paraId="7B8DE6D2"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e) Trả thay theo cam kết ngoại bảng;</w:t>
      </w:r>
    </w:p>
    <w:p w14:paraId="0DDD0DFD"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g) Mua và ủy thác mua trái phiếu doanh nghiệp (bao gồm cả trái phiếu do tổ chức tín dụng khác phát hành) chưa niêm yết trên thị trường chứng khoán hoặc chưa đăng ký giao dịch trên hệ thống giao dịch Upcom (sau đây gọi tắt là trái phiếu chưa niêm yết), không bao gồm mua trái phiếu chưa niêm yết bằng nguồn vốn ủy thác mà bên ủy thác chịu rủi ro;</w:t>
      </w:r>
    </w:p>
    <w:p w14:paraId="746E5496"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h) Ủy thác cấp tín dụng;</w:t>
      </w:r>
    </w:p>
    <w:p w14:paraId="47AFE8BE"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xml:space="preserve">i) Gửi tiền (trừ tiền gửi thanh toán, tiền gửi tại ngân hàng chính sách xã hội theo quy định của Ngân hàng Nhà nước </w:t>
      </w:r>
      <w:r w:rsidR="005C1F90" w:rsidRPr="00CC0061">
        <w:rPr>
          <w:rFonts w:ascii="Times New Roman" w:eastAsia="Times New Roman" w:hAnsi="Times New Roman" w:cs="Times New Roman"/>
          <w:sz w:val="28"/>
          <w:szCs w:val="28"/>
          <w:lang w:val="en-US"/>
        </w:rPr>
        <w:t xml:space="preserve">Việt Nam (sau đây gọi tắt là Ngân hàng Nhà nước) </w:t>
      </w:r>
      <w:r w:rsidRPr="00CC0061">
        <w:rPr>
          <w:rFonts w:ascii="Times New Roman" w:eastAsia="Times New Roman" w:hAnsi="Times New Roman" w:cs="Times New Roman"/>
          <w:sz w:val="28"/>
          <w:szCs w:val="28"/>
        </w:rPr>
        <w:t>về việc các tổ chức tín dụng nhà nước duy trì số dư tiền gửi tại ngân hàng chính sách xã hội) tại tổ chức tín dụng, chi nhánh ngân hàng nước ngoài theo quy định của pháp luật và gửi tiền tại tổ chức tín dụng ở nước ngoài;</w:t>
      </w:r>
    </w:p>
    <w:p w14:paraId="42808A61"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k) Mua</w:t>
      </w:r>
      <w:r w:rsidR="002435F6" w:rsidRPr="00CC0061">
        <w:rPr>
          <w:rFonts w:ascii="Times New Roman" w:eastAsia="Times New Roman" w:hAnsi="Times New Roman" w:cs="Times New Roman"/>
          <w:sz w:val="28"/>
          <w:szCs w:val="28"/>
          <w:lang w:val="en-US"/>
        </w:rPr>
        <w:t>,</w:t>
      </w:r>
      <w:r w:rsidRPr="00CC0061">
        <w:rPr>
          <w:rFonts w:ascii="Times New Roman" w:eastAsia="Times New Roman" w:hAnsi="Times New Roman" w:cs="Times New Roman"/>
          <w:sz w:val="28"/>
          <w:szCs w:val="28"/>
        </w:rPr>
        <w:t xml:space="preserve"> bán nợ theo quy định của Ngân</w:t>
      </w:r>
      <w:r w:rsidR="002435F6" w:rsidRPr="00CC0061">
        <w:rPr>
          <w:rFonts w:ascii="Times New Roman" w:eastAsia="Times New Roman" w:hAnsi="Times New Roman" w:cs="Times New Roman"/>
          <w:sz w:val="28"/>
          <w:szCs w:val="28"/>
        </w:rPr>
        <w:t xml:space="preserve"> hàng Nhà nước về hoạt động mua, </w:t>
      </w:r>
      <w:r w:rsidRPr="00CC0061">
        <w:rPr>
          <w:rFonts w:ascii="Times New Roman" w:eastAsia="Times New Roman" w:hAnsi="Times New Roman" w:cs="Times New Roman"/>
          <w:sz w:val="28"/>
          <w:szCs w:val="28"/>
        </w:rPr>
        <w:t>bán nợ;</w:t>
      </w:r>
    </w:p>
    <w:p w14:paraId="58497E68"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l) Mua bán lại trái phiếu Chính phủ trên thị trường chứng khoán theo quy định của pháp luật về phát hành, đăng ký, lưu ký, niêm yết và giao dịch công cụ nợ của Chính phủ trên thị trường chứng khoán;</w:t>
      </w:r>
    </w:p>
    <w:p w14:paraId="16834D73"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m) Mua kỳ phiếu, tín phiếu, chứng chỉ tiền gửi do tổ chức tín dụng, chi nhánh ngân hàng nước ngoài khác phát hành.</w:t>
      </w:r>
    </w:p>
    <w:p w14:paraId="463EFD4F"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2. Các khoản bảo lãnh, chấp nhận thanh toán, cam kết cho vay không hủy ngang và các cam kết khác phát sinh rủi ro tín dụng (sau đây gọi chung là cam kết ngoại bảng) phải được phân loại theo quy định tại Thông tư này để quản lý, giám sát chất lượng hoạt động cấp tín dụng của tổ chức tín dụng, chi nhánh ngân hàng nước ngoài.</w:t>
      </w:r>
    </w:p>
    <w:p w14:paraId="798892F1"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3. Việc trích lập và sử dụng dự phòng giảm giá hàng tồn kho, dự phòng tổn thất các khoản đầu tư tài chính, dự phòng tổn thất các khoản nợ phải thu khó đòi, trừ các khoản quy định tại khoản 1 Điều này thực hiện theo quy định của pháp luật về việc trích lập và xử lý các khoản dự phòng giảm giá hàng tồn kho, tổn thất các khoản đầu tư, nợ phải thu khó đòi và bảo hành sản phẩm, hàng hóa, dịch vụ, công trình xây dựng tại doanh nghiệp.</w:t>
      </w:r>
    </w:p>
    <w:p w14:paraId="077A2030"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4. Việc trích lập và sử dụng dự phòng rủi ro đối với trái phiếu đặc biệt do Công ty quản lý tài sản của các tổ chức tín dụng Việt Nam phát hành để mua nợ xấu của tổ chức tín dụng thực hiện theo quy định của Thống đốc Ngân hàng Nhà nước về việc mua, bán và xử lý nợ xấu của Công ty quản lý tài sản của các tổ chức tín dụng Việt Nam.</w:t>
      </w:r>
    </w:p>
    <w:p w14:paraId="733195FE" w14:textId="77777777" w:rsidR="00133F17" w:rsidRPr="00B7702B"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lang w:val="en-US"/>
        </w:rPr>
      </w:pPr>
      <w:r w:rsidRPr="00CC0061">
        <w:rPr>
          <w:rFonts w:ascii="Times New Roman" w:eastAsia="Times New Roman" w:hAnsi="Times New Roman" w:cs="Times New Roman"/>
          <w:sz w:val="28"/>
          <w:szCs w:val="28"/>
        </w:rPr>
        <w:t xml:space="preserve">5. Các khoản nợ mà Chính phủ, Thủ tướng Chính phủ có quy định cụ thể về phân loại nợ, trích lập dự phòng rủi ro, xử lý rủi ro khác với quy định tại Thông </w:t>
      </w:r>
      <w:r w:rsidRPr="00CC0061">
        <w:rPr>
          <w:rFonts w:ascii="Times New Roman" w:eastAsia="Times New Roman" w:hAnsi="Times New Roman" w:cs="Times New Roman"/>
          <w:sz w:val="28"/>
          <w:szCs w:val="28"/>
        </w:rPr>
        <w:lastRenderedPageBreak/>
        <w:t xml:space="preserve">tư này thì tổ chức tín dụng, chi nhánh ngân hàng nước ngoài thực hiện theo quy định đó của </w:t>
      </w:r>
      <w:r w:rsidR="00B7702B">
        <w:rPr>
          <w:rFonts w:ascii="Times New Roman" w:eastAsia="Times New Roman" w:hAnsi="Times New Roman" w:cs="Times New Roman"/>
          <w:sz w:val="28"/>
          <w:szCs w:val="28"/>
        </w:rPr>
        <w:t>Chính phủ, Thủ tướng Chính phủ.</w:t>
      </w:r>
    </w:p>
    <w:p w14:paraId="50543931" w14:textId="77777777" w:rsidR="00133F17" w:rsidRPr="00CC0061" w:rsidRDefault="008842DA" w:rsidP="00DF2532">
      <w:pPr>
        <w:widowControl/>
        <w:spacing w:before="120" w:after="120" w:line="240" w:lineRule="auto"/>
        <w:ind w:left="-2" w:firstLineChars="202" w:firstLine="568"/>
        <w:jc w:val="both"/>
        <w:rPr>
          <w:rFonts w:ascii="Times New Roman" w:eastAsia="Times New Roman" w:hAnsi="Times New Roman" w:cs="Times New Roman"/>
          <w:sz w:val="28"/>
          <w:szCs w:val="28"/>
        </w:rPr>
      </w:pPr>
      <w:r w:rsidRPr="00CC0061">
        <w:rPr>
          <w:rFonts w:ascii="Times New Roman" w:eastAsia="Times New Roman" w:hAnsi="Times New Roman" w:cs="Times New Roman"/>
          <w:b/>
          <w:sz w:val="28"/>
          <w:szCs w:val="28"/>
        </w:rPr>
        <w:t>Điều 2. Đối tượng áp dụng</w:t>
      </w:r>
    </w:p>
    <w:p w14:paraId="4A22F9D2"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1. Thông tư này áp dụng đối với:</w:t>
      </w:r>
    </w:p>
    <w:p w14:paraId="3AD6D225" w14:textId="77777777" w:rsidR="00133F17" w:rsidRPr="000455E5"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lang w:val="en-US"/>
        </w:rPr>
      </w:pPr>
      <w:r w:rsidRPr="00CC0061">
        <w:rPr>
          <w:rFonts w:ascii="Times New Roman" w:eastAsia="Times New Roman" w:hAnsi="Times New Roman" w:cs="Times New Roman"/>
          <w:sz w:val="28"/>
          <w:szCs w:val="28"/>
        </w:rPr>
        <w:t xml:space="preserve">a) Tổ chức tín dụng, bao gồm: ngân hàng thương mại và tổ chức tín dụng phi ngân hàng, trừ tổ chức tín dụng </w:t>
      </w:r>
      <w:r w:rsidR="00F13541" w:rsidRPr="00CC0061">
        <w:rPr>
          <w:rFonts w:ascii="Times New Roman" w:eastAsia="Times New Roman" w:hAnsi="Times New Roman" w:cs="Times New Roman"/>
          <w:sz w:val="28"/>
          <w:szCs w:val="28"/>
          <w:lang w:val="en-US"/>
        </w:rPr>
        <w:t xml:space="preserve">đang </w:t>
      </w:r>
      <w:r w:rsidR="00E73B33" w:rsidRPr="00CC0061">
        <w:rPr>
          <w:rFonts w:ascii="Times New Roman" w:eastAsia="Times New Roman" w:hAnsi="Times New Roman" w:cs="Times New Roman"/>
          <w:sz w:val="28"/>
          <w:szCs w:val="28"/>
        </w:rPr>
        <w:t>được kiểm soát đặc biệt</w:t>
      </w:r>
      <w:r w:rsidR="0077447E" w:rsidRPr="00CC0061">
        <w:rPr>
          <w:rFonts w:ascii="Times New Roman" w:eastAsia="Times New Roman" w:hAnsi="Times New Roman" w:cs="Times New Roman"/>
          <w:sz w:val="28"/>
          <w:szCs w:val="28"/>
          <w:lang w:val="en-US"/>
        </w:rPr>
        <w:t xml:space="preserve"> </w:t>
      </w:r>
      <w:r w:rsidR="0077447E" w:rsidRPr="000455E5">
        <w:rPr>
          <w:rFonts w:ascii="Times New Roman" w:eastAsia="Times New Roman" w:hAnsi="Times New Roman" w:cs="Times New Roman"/>
          <w:sz w:val="28"/>
          <w:szCs w:val="28"/>
          <w:lang w:val="en-US"/>
        </w:rPr>
        <w:t>thực hiện theo quy định của pháp luật về kiểm soát đặc biệt tổ chức tín dụng</w:t>
      </w:r>
      <w:r w:rsidR="00E73B33" w:rsidRPr="000455E5">
        <w:rPr>
          <w:rFonts w:ascii="Times New Roman" w:eastAsia="Times New Roman" w:hAnsi="Times New Roman" w:cs="Times New Roman"/>
          <w:sz w:val="28"/>
          <w:szCs w:val="28"/>
          <w:lang w:val="en-US"/>
        </w:rPr>
        <w:t>;</w:t>
      </w:r>
    </w:p>
    <w:p w14:paraId="5E489BA6"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b) Chi nhánh ngân hàng nước ngoài.</w:t>
      </w:r>
    </w:p>
    <w:p w14:paraId="228810B7"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2. Chi nhánh ngân hàng nước ngoài áp dụng chính sách dự phòng rủi ro của ngân hàng nước ngoài để phân loại nợ, cam kết ngoại bảng, trích lập và sử dụng dự phòng rủi ro phải được Ngân hàng Nhà nước chấp thuận với điều kiện chính sách dự phòng rủi ro của ngân hàng nước ngoài tiên tiến và ưu việ</w:t>
      </w:r>
      <w:r w:rsidR="00E73B33" w:rsidRPr="00CC0061">
        <w:rPr>
          <w:rFonts w:ascii="Times New Roman" w:eastAsia="Times New Roman" w:hAnsi="Times New Roman" w:cs="Times New Roman"/>
          <w:sz w:val="28"/>
          <w:szCs w:val="28"/>
        </w:rPr>
        <w:t xml:space="preserve">t hơn so với quy định tại Điều </w:t>
      </w:r>
      <w:r w:rsidR="00E73B33" w:rsidRPr="00CC0061">
        <w:rPr>
          <w:rFonts w:ascii="Times New Roman" w:eastAsia="Times New Roman" w:hAnsi="Times New Roman" w:cs="Times New Roman"/>
          <w:sz w:val="28"/>
          <w:szCs w:val="28"/>
          <w:lang w:val="en-US"/>
        </w:rPr>
        <w:t>10</w:t>
      </w:r>
      <w:r w:rsidRPr="00CC0061">
        <w:rPr>
          <w:rFonts w:ascii="Times New Roman" w:eastAsia="Times New Roman" w:hAnsi="Times New Roman" w:cs="Times New Roman"/>
          <w:sz w:val="28"/>
          <w:szCs w:val="28"/>
        </w:rPr>
        <w:t xml:space="preserve"> Thông tư này. Hồ sơ, trình tự, thủ tục để được Ngân hàng Nhà nước chấp thuận áp dụng chính sách dự phòng rủi ro của ngân hàng nước ngoài theo quy định tại khoản 3, khoản 4 Điều 11 Thông tư này.</w:t>
      </w:r>
    </w:p>
    <w:p w14:paraId="58F5F50D"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xml:space="preserve">3. Chi nhánh ngân hàng nước ngoài đã được Ngân hàng Nhà nước chấp thuận áp dụng chính sách dự phòng rủi ro của ngân hàng nước ngoài trước ngày Thông tư này có hiệu lực thi hành, chi nhánh ngân hàng nước ngoài được Ngân hàng Nhà nước chấp thuận áp dụng chính sách dự phòng rủi ro của ngân hàng nước ngoài theo khoản 2 Điều này thực hiện theo quy định của ngân hàng nước ngoài. Trong quá trình thanh tra, giám sát, nếu Ngân hàng Nhà nước đánh giá chính sách dự phòng </w:t>
      </w:r>
      <w:r w:rsidR="00E73B33" w:rsidRPr="00CC0061">
        <w:rPr>
          <w:rFonts w:ascii="Times New Roman" w:eastAsia="Times New Roman" w:hAnsi="Times New Roman" w:cs="Times New Roman"/>
          <w:sz w:val="28"/>
          <w:szCs w:val="28"/>
          <w:lang w:val="en-US"/>
        </w:rPr>
        <w:t xml:space="preserve">rủi ro </w:t>
      </w:r>
      <w:r w:rsidRPr="00CC0061">
        <w:rPr>
          <w:rFonts w:ascii="Times New Roman" w:eastAsia="Times New Roman" w:hAnsi="Times New Roman" w:cs="Times New Roman"/>
          <w:sz w:val="28"/>
          <w:szCs w:val="28"/>
        </w:rPr>
        <w:t>của ngân hàng nước ngoài không phản ánh được đầy đủ mức độ rủi ro tín dụng trong hoạt động ngân hàng thực tế tại Việt Nam, Ngân hàng Nhà nước có thể yêu cầu chi nhánh ngân hàng nước ngoài thực hiện phân loại nợ, cam kết ngoại bảng, trích lập và sử dụng dự phòng rủi ro theo quy định tại Thông tư này.</w:t>
      </w:r>
    </w:p>
    <w:p w14:paraId="6EC6D2E1" w14:textId="77777777" w:rsidR="00133F17" w:rsidRPr="00CC0061" w:rsidRDefault="008842DA" w:rsidP="00DF2532">
      <w:pPr>
        <w:widowControl/>
        <w:spacing w:before="120" w:after="120" w:line="240" w:lineRule="auto"/>
        <w:ind w:left="-2" w:firstLineChars="202" w:firstLine="568"/>
        <w:jc w:val="both"/>
        <w:rPr>
          <w:rFonts w:ascii="Times New Roman" w:eastAsia="Times New Roman" w:hAnsi="Times New Roman" w:cs="Times New Roman"/>
          <w:sz w:val="28"/>
          <w:szCs w:val="28"/>
        </w:rPr>
      </w:pPr>
      <w:r w:rsidRPr="00CC0061">
        <w:rPr>
          <w:rFonts w:ascii="Times New Roman" w:eastAsia="Times New Roman" w:hAnsi="Times New Roman" w:cs="Times New Roman"/>
          <w:b/>
          <w:sz w:val="28"/>
          <w:szCs w:val="28"/>
        </w:rPr>
        <w:t>Điều 3. Giải thích từ ngữ</w:t>
      </w:r>
    </w:p>
    <w:p w14:paraId="5C94F5CD"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Trong Thông tư này, những từ ngữ dưới đây được hiểu như sau:</w:t>
      </w:r>
    </w:p>
    <w:p w14:paraId="59A6A13F"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xml:space="preserve">1. Rủi ro tín dụng trong hoạt động ngân hàng (sau đây gọi tắt là rủi ro) là khả năng xảy ra tổn thất đối với nợ của tổ chức tín dụng, chi nhánh ngân hàng nước ngoài do khách hàng không có khả năng trả được một phần hoặc toàn bộ nợ của mình theo </w:t>
      </w:r>
      <w:r w:rsidR="002435F6" w:rsidRPr="00CC0061">
        <w:rPr>
          <w:rFonts w:ascii="Times New Roman" w:eastAsia="Times New Roman" w:hAnsi="Times New Roman" w:cs="Times New Roman"/>
          <w:sz w:val="28"/>
          <w:szCs w:val="28"/>
          <w:lang w:val="en-US"/>
        </w:rPr>
        <w:t>hợp đồng</w:t>
      </w:r>
      <w:r w:rsidR="00A2653E" w:rsidRPr="00CC0061">
        <w:rPr>
          <w:rFonts w:ascii="Times New Roman" w:eastAsia="Times New Roman" w:hAnsi="Times New Roman" w:cs="Times New Roman"/>
          <w:sz w:val="28"/>
          <w:szCs w:val="28"/>
          <w:lang w:val="en-US"/>
        </w:rPr>
        <w:t xml:space="preserve"> hoặc thỏa thuận</w:t>
      </w:r>
      <w:r w:rsidR="002435F6" w:rsidRPr="00CC0061">
        <w:rPr>
          <w:rFonts w:ascii="Times New Roman" w:eastAsia="Times New Roman" w:hAnsi="Times New Roman" w:cs="Times New Roman"/>
          <w:sz w:val="28"/>
          <w:szCs w:val="28"/>
          <w:lang w:val="en-US"/>
        </w:rPr>
        <w:t xml:space="preserve"> (sau đây gọi chung là </w:t>
      </w:r>
      <w:r w:rsidRPr="00CC0061">
        <w:rPr>
          <w:rFonts w:ascii="Times New Roman" w:eastAsia="Times New Roman" w:hAnsi="Times New Roman" w:cs="Times New Roman"/>
          <w:sz w:val="28"/>
          <w:szCs w:val="28"/>
        </w:rPr>
        <w:t>thỏa thuận</w:t>
      </w:r>
      <w:r w:rsidR="002435F6" w:rsidRPr="00CC0061">
        <w:rPr>
          <w:rFonts w:ascii="Times New Roman" w:eastAsia="Times New Roman" w:hAnsi="Times New Roman" w:cs="Times New Roman"/>
          <w:sz w:val="28"/>
          <w:szCs w:val="28"/>
          <w:lang w:val="en-US"/>
        </w:rPr>
        <w:t>)</w:t>
      </w:r>
      <w:r w:rsidRPr="00CC0061">
        <w:rPr>
          <w:rFonts w:ascii="Times New Roman" w:eastAsia="Times New Roman" w:hAnsi="Times New Roman" w:cs="Times New Roman"/>
          <w:sz w:val="28"/>
          <w:szCs w:val="28"/>
        </w:rPr>
        <w:t xml:space="preserve"> với tổ chức tín dụng, chi nhánh ngân hàng nước ngoài.</w:t>
      </w:r>
    </w:p>
    <w:p w14:paraId="6884DDAD"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lang w:val="en-US"/>
        </w:rPr>
      </w:pPr>
      <w:r w:rsidRPr="00CC0061">
        <w:rPr>
          <w:rFonts w:ascii="Times New Roman" w:eastAsia="Times New Roman" w:hAnsi="Times New Roman" w:cs="Times New Roman"/>
          <w:sz w:val="28"/>
          <w:szCs w:val="28"/>
        </w:rPr>
        <w:t>2. Khoản nợ là số tiền tổ chức tín dụng, chi nhánh ngân hàng nước ngoài đã gửi, tha</w:t>
      </w:r>
      <w:r w:rsidR="00972F97" w:rsidRPr="00CC0061">
        <w:rPr>
          <w:rFonts w:ascii="Times New Roman" w:eastAsia="Times New Roman" w:hAnsi="Times New Roman" w:cs="Times New Roman"/>
          <w:sz w:val="28"/>
          <w:szCs w:val="28"/>
        </w:rPr>
        <w:t>nh toán</w:t>
      </w:r>
      <w:r w:rsidR="005A51F6" w:rsidRPr="00CC0061">
        <w:rPr>
          <w:rFonts w:ascii="Times New Roman" w:eastAsia="Times New Roman" w:hAnsi="Times New Roman" w:cs="Times New Roman"/>
          <w:sz w:val="28"/>
          <w:szCs w:val="28"/>
          <w:lang w:val="en-US"/>
        </w:rPr>
        <w:t>,</w:t>
      </w:r>
      <w:r w:rsidR="00972F97" w:rsidRPr="00CC0061">
        <w:rPr>
          <w:rFonts w:ascii="Times New Roman" w:eastAsia="Times New Roman" w:hAnsi="Times New Roman" w:cs="Times New Roman"/>
          <w:sz w:val="28"/>
          <w:szCs w:val="28"/>
        </w:rPr>
        <w:t xml:space="preserve"> </w:t>
      </w:r>
      <w:r w:rsidR="005A51F6" w:rsidRPr="00CC0061">
        <w:rPr>
          <w:rFonts w:ascii="Times New Roman" w:eastAsia="Times New Roman" w:hAnsi="Times New Roman" w:cs="Times New Roman"/>
          <w:sz w:val="28"/>
          <w:szCs w:val="28"/>
        </w:rPr>
        <w:t>giải ngân</w:t>
      </w:r>
      <w:r w:rsidR="005A51F6" w:rsidRPr="00CC0061">
        <w:rPr>
          <w:rFonts w:ascii="Times New Roman" w:eastAsia="Times New Roman" w:hAnsi="Times New Roman" w:cs="Times New Roman"/>
          <w:sz w:val="28"/>
          <w:szCs w:val="28"/>
          <w:lang w:val="en-US"/>
        </w:rPr>
        <w:t xml:space="preserve"> t</w:t>
      </w:r>
      <w:r w:rsidR="00972F97" w:rsidRPr="00CC0061">
        <w:rPr>
          <w:rFonts w:ascii="Times New Roman" w:eastAsia="Times New Roman" w:hAnsi="Times New Roman" w:cs="Times New Roman"/>
          <w:sz w:val="28"/>
          <w:szCs w:val="28"/>
        </w:rPr>
        <w:t>ừng lần</w:t>
      </w:r>
      <w:r w:rsidR="00F743C3" w:rsidRPr="00CC0061">
        <w:rPr>
          <w:rFonts w:ascii="Times New Roman" w:eastAsia="Times New Roman" w:hAnsi="Times New Roman" w:cs="Times New Roman"/>
          <w:sz w:val="28"/>
          <w:szCs w:val="28"/>
          <w:lang w:val="en-US"/>
        </w:rPr>
        <w:t xml:space="preserve"> (đối với trường hợp mỗi lần giải ngân có một thời hạn, kỳ hạn trả nợ khác nhau)</w:t>
      </w:r>
      <w:r w:rsidR="00A25C53" w:rsidRPr="00CC0061">
        <w:rPr>
          <w:rFonts w:ascii="Times New Roman" w:eastAsia="Times New Roman" w:hAnsi="Times New Roman" w:cs="Times New Roman"/>
          <w:sz w:val="28"/>
          <w:szCs w:val="28"/>
          <w:lang w:val="en-US"/>
        </w:rPr>
        <w:t xml:space="preserve"> h</w:t>
      </w:r>
      <w:r w:rsidR="00972F97" w:rsidRPr="00CC0061">
        <w:rPr>
          <w:rFonts w:ascii="Times New Roman" w:eastAsia="Times New Roman" w:hAnsi="Times New Roman" w:cs="Times New Roman"/>
          <w:sz w:val="28"/>
          <w:szCs w:val="28"/>
          <w:lang w:val="en-US"/>
        </w:rPr>
        <w:t xml:space="preserve">oặc số tiền tổ chức tín dụng, chi nhánh ngân hàng nước ngoài đã giải ngân </w:t>
      </w:r>
      <w:r w:rsidR="005A51F6" w:rsidRPr="00CC0061">
        <w:rPr>
          <w:rFonts w:ascii="Times New Roman" w:eastAsia="Times New Roman" w:hAnsi="Times New Roman" w:cs="Times New Roman"/>
          <w:sz w:val="28"/>
          <w:szCs w:val="28"/>
          <w:lang w:val="en-US"/>
        </w:rPr>
        <w:t xml:space="preserve">theo </w:t>
      </w:r>
      <w:r w:rsidR="006E22FB" w:rsidRPr="00CC0061">
        <w:rPr>
          <w:rFonts w:ascii="Times New Roman" w:eastAsia="Times New Roman" w:hAnsi="Times New Roman" w:cs="Times New Roman"/>
          <w:sz w:val="28"/>
          <w:szCs w:val="28"/>
          <w:lang w:val="en-US"/>
        </w:rPr>
        <w:t>hợp đồng</w:t>
      </w:r>
      <w:r w:rsidR="005A51F6" w:rsidRPr="00CC0061">
        <w:rPr>
          <w:rFonts w:ascii="Times New Roman" w:eastAsia="Times New Roman" w:hAnsi="Times New Roman" w:cs="Times New Roman"/>
          <w:sz w:val="28"/>
          <w:szCs w:val="28"/>
          <w:lang w:val="en-US"/>
        </w:rPr>
        <w:t xml:space="preserve"> (đối với trường hợp nhiều lần giải ngân nhưng có cùng thời hạn, kỳ hạn trả nợ) đối</w:t>
      </w:r>
      <w:r w:rsidR="005A51F6" w:rsidRPr="00CC0061">
        <w:rPr>
          <w:rFonts w:ascii="Times New Roman" w:eastAsia="Times New Roman" w:hAnsi="Times New Roman" w:cs="Times New Roman"/>
          <w:sz w:val="28"/>
          <w:szCs w:val="28"/>
        </w:rPr>
        <w:t xml:space="preserve"> với nợ </w:t>
      </w:r>
      <w:r w:rsidR="00B7702B">
        <w:rPr>
          <w:rFonts w:ascii="Times New Roman" w:eastAsia="Times New Roman" w:hAnsi="Times New Roman" w:cs="Times New Roman"/>
          <w:sz w:val="28"/>
          <w:szCs w:val="28"/>
        </w:rPr>
        <w:t>mà khách hàng chưa hoàn trả</w:t>
      </w:r>
      <w:r w:rsidR="005A51F6" w:rsidRPr="00CC0061">
        <w:rPr>
          <w:rFonts w:ascii="Times New Roman" w:eastAsia="Times New Roman" w:hAnsi="Times New Roman" w:cs="Times New Roman"/>
          <w:sz w:val="28"/>
          <w:szCs w:val="28"/>
          <w:lang w:val="en-US"/>
        </w:rPr>
        <w:t>.</w:t>
      </w:r>
    </w:p>
    <w:p w14:paraId="4C393659"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xml:space="preserve">3. Dự phòng rủi ro là số tiền được trích lập và hạch toán vào chi phí hoạt động để dự phòng cho những rủi ro có thể xảy ra đối với nợ của tổ chức tín dụng, </w:t>
      </w:r>
      <w:r w:rsidRPr="00CC0061">
        <w:rPr>
          <w:rFonts w:ascii="Times New Roman" w:eastAsia="Times New Roman" w:hAnsi="Times New Roman" w:cs="Times New Roman"/>
          <w:sz w:val="28"/>
          <w:szCs w:val="28"/>
        </w:rPr>
        <w:lastRenderedPageBreak/>
        <w:t>chi nhánh ngân hàng nước ngoài. Dự phòng rủi ro gồm dự phòng cụ thể và dự phòng chung.</w:t>
      </w:r>
    </w:p>
    <w:p w14:paraId="49E6E1E0"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4. Dự phòng cụ thể là số tiền được trích lập để dự phòng cho những rủi ro có thể xảy ra đối với từng khoản nợ cụ thể.</w:t>
      </w:r>
    </w:p>
    <w:p w14:paraId="39743DA5"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5. Dự phòng chung là số tiền được trích lập để dự phòng cho những rủi ro có thể xảy ra nhưng chưa xác định được khi trích lập dự phòng cụ thể.</w:t>
      </w:r>
    </w:p>
    <w:p w14:paraId="3B6DB2AA"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xml:space="preserve">6. Khoản nợ quá hạn là khoản nợ mà khách hàng không trả được đúng hạn một phần hoặc toàn bộ nợ gốc và/hoặc lãi theo thỏa thuận với tổ chức tín dụng, chi nhánh ngân hàng nước ngoài. Đối với khoản cấp tín dụng dưới hình thức phát hành thẻ tín dụng, khoản nợ quá hạn là khoản nợ mà khách hàng sử dụng thẻ không trả được </w:t>
      </w:r>
      <w:r w:rsidR="00D5121E" w:rsidRPr="00CC0061">
        <w:rPr>
          <w:rFonts w:ascii="Times New Roman" w:eastAsia="Times New Roman" w:hAnsi="Times New Roman" w:cs="Times New Roman"/>
          <w:sz w:val="28"/>
          <w:szCs w:val="28"/>
          <w:lang w:val="en-US"/>
        </w:rPr>
        <w:t>n</w:t>
      </w:r>
      <w:r w:rsidRPr="00CC0061">
        <w:rPr>
          <w:rFonts w:ascii="Times New Roman" w:eastAsia="Times New Roman" w:hAnsi="Times New Roman" w:cs="Times New Roman"/>
          <w:sz w:val="28"/>
          <w:szCs w:val="28"/>
        </w:rPr>
        <w:t xml:space="preserve">ghĩa vụ trả nợ đến hạn thanh toán của mình theo </w:t>
      </w:r>
      <w:r w:rsidR="00056C80" w:rsidRPr="00CC0061">
        <w:rPr>
          <w:rFonts w:ascii="Times New Roman" w:eastAsia="Times New Roman" w:hAnsi="Times New Roman" w:cs="Times New Roman"/>
          <w:sz w:val="28"/>
          <w:szCs w:val="28"/>
          <w:lang w:val="en-US"/>
        </w:rPr>
        <w:t>t</w:t>
      </w:r>
      <w:r w:rsidRPr="00CC0061">
        <w:rPr>
          <w:rFonts w:ascii="Times New Roman" w:eastAsia="Times New Roman" w:hAnsi="Times New Roman" w:cs="Times New Roman"/>
          <w:sz w:val="28"/>
          <w:szCs w:val="28"/>
        </w:rPr>
        <w:t>hỏa thuận phát hành, sử dụng, thanh toán thẻ tín dụng với tổ chức tín dụng, chi nhánh ngân hàng nước ngoài.</w:t>
      </w:r>
    </w:p>
    <w:p w14:paraId="7A6C07C9"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lang w:val="en-US"/>
        </w:rPr>
      </w:pPr>
      <w:r w:rsidRPr="00CC0061">
        <w:rPr>
          <w:rFonts w:ascii="Times New Roman" w:eastAsia="Times New Roman" w:hAnsi="Times New Roman" w:cs="Times New Roman"/>
          <w:sz w:val="28"/>
          <w:szCs w:val="28"/>
        </w:rPr>
        <w:t xml:space="preserve">7. Nợ cơ cấu lại thời hạn trả nợ là nợ được cơ cấu lại thời hạn trả nợ theo </w:t>
      </w:r>
      <w:r w:rsidR="00791417" w:rsidRPr="00CC0061">
        <w:rPr>
          <w:rFonts w:ascii="Times New Roman" w:eastAsia="Times New Roman" w:hAnsi="Times New Roman" w:cs="Times New Roman"/>
          <w:sz w:val="28"/>
          <w:szCs w:val="28"/>
        </w:rPr>
        <w:t>quy định của Ngân hàng Nhà nước</w:t>
      </w:r>
      <w:r w:rsidR="00791417" w:rsidRPr="00CC0061">
        <w:rPr>
          <w:rFonts w:ascii="Times New Roman" w:eastAsia="Times New Roman" w:hAnsi="Times New Roman" w:cs="Times New Roman"/>
          <w:sz w:val="28"/>
          <w:szCs w:val="28"/>
          <w:lang w:val="en-US"/>
        </w:rPr>
        <w:t>.</w:t>
      </w:r>
    </w:p>
    <w:p w14:paraId="1D7396AB"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lang w:val="en-US"/>
        </w:rPr>
      </w:pPr>
      <w:r w:rsidRPr="00CC0061">
        <w:rPr>
          <w:rFonts w:ascii="Times New Roman" w:eastAsia="Times New Roman" w:hAnsi="Times New Roman" w:cs="Times New Roman"/>
          <w:sz w:val="28"/>
          <w:szCs w:val="28"/>
        </w:rPr>
        <w:t xml:space="preserve">8. Nợ xấu (NPL) là nợ xấu nội bảng, </w:t>
      </w:r>
      <w:r w:rsidR="00791417" w:rsidRPr="00CC0061">
        <w:rPr>
          <w:rFonts w:ascii="Times New Roman" w:eastAsia="Times New Roman" w:hAnsi="Times New Roman" w:cs="Times New Roman"/>
          <w:sz w:val="28"/>
          <w:szCs w:val="28"/>
        </w:rPr>
        <w:t>gồm nợ thuộc các nhóm 3, 4 và 5</w:t>
      </w:r>
      <w:r w:rsidR="00791417" w:rsidRPr="00CC0061">
        <w:rPr>
          <w:rFonts w:ascii="Times New Roman" w:eastAsia="Times New Roman" w:hAnsi="Times New Roman" w:cs="Times New Roman"/>
          <w:sz w:val="28"/>
          <w:szCs w:val="28"/>
          <w:lang w:val="en-US"/>
        </w:rPr>
        <w:t>.</w:t>
      </w:r>
    </w:p>
    <w:p w14:paraId="7667E048"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9. Tỷ lệ nợ xấu là tỷ lệ giữa nợ xấu so với tổng các khoản nợ từ nhóm 1 đến nhóm 5.</w:t>
      </w:r>
    </w:p>
    <w:p w14:paraId="0A1412E9"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10. Tỷ lệ cấp tín dụng xấu là tỷ lệ giữa tổng của nợ xấu và cam kết ngoại bảng từ nhóm 3 đến nhóm 5 so với tổng các khoản nợ và cam kết ngoại bảng từ nhóm 1 đến nhóm 5.</w:t>
      </w:r>
    </w:p>
    <w:p w14:paraId="3F2625B9"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11. Khách hàng là tổ chức (bao gồm cả tổ chức tín dụng, chi nhánh ngân hàng nước ngoài), cá nhân, các chủ thể khác theo quy định của pháp luật dân sự có nghĩa vụ hoặc có thể phát sinh nghĩa vụ trả nợ, thanh toán cho tổ chức tín dụng, chi nhánh ngân hàng nước ngoài theo thỏa thuận.</w:t>
      </w:r>
    </w:p>
    <w:p w14:paraId="35820313" w14:textId="77777777" w:rsidR="006266B4"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lang w:val="en-US"/>
        </w:rPr>
      </w:pPr>
      <w:r w:rsidRPr="00CC0061">
        <w:rPr>
          <w:rFonts w:ascii="Times New Roman" w:eastAsia="Times New Roman" w:hAnsi="Times New Roman" w:cs="Times New Roman"/>
          <w:sz w:val="28"/>
          <w:szCs w:val="28"/>
        </w:rPr>
        <w:t xml:space="preserve">12. </w:t>
      </w:r>
      <w:r w:rsidR="005F255C" w:rsidRPr="00CC0061">
        <w:rPr>
          <w:rFonts w:ascii="Times New Roman" w:eastAsia="Times New Roman" w:hAnsi="Times New Roman" w:cs="Times New Roman"/>
          <w:sz w:val="28"/>
          <w:szCs w:val="28"/>
        </w:rPr>
        <w:t xml:space="preserve">Sử dụng dự phòng </w:t>
      </w:r>
      <w:r w:rsidR="006266B4" w:rsidRPr="00CC0061">
        <w:rPr>
          <w:rFonts w:ascii="Times New Roman" w:eastAsia="Times New Roman" w:hAnsi="Times New Roman" w:cs="Times New Roman"/>
          <w:sz w:val="28"/>
          <w:szCs w:val="28"/>
          <w:lang w:val="en-US"/>
        </w:rPr>
        <w:t>rủi ro bao gồm</w:t>
      </w:r>
      <w:r w:rsidR="00056C80" w:rsidRPr="00CC0061">
        <w:rPr>
          <w:rFonts w:ascii="Times New Roman" w:eastAsia="Times New Roman" w:hAnsi="Times New Roman" w:cs="Times New Roman"/>
          <w:sz w:val="28"/>
          <w:szCs w:val="28"/>
          <w:lang w:val="en-US"/>
        </w:rPr>
        <w:t xml:space="preserve"> sử dụng dự phòng đ</w:t>
      </w:r>
      <w:r w:rsidR="00056C80" w:rsidRPr="00CC0061">
        <w:rPr>
          <w:rFonts w:ascii="Times New Roman" w:eastAsia="Times New Roman" w:hAnsi="Times New Roman" w:cs="Times New Roman"/>
          <w:sz w:val="28"/>
          <w:szCs w:val="28"/>
        </w:rPr>
        <w:t>ể xử lý rủi ro</w:t>
      </w:r>
      <w:r w:rsidR="00056C80" w:rsidRPr="00CC0061">
        <w:rPr>
          <w:rFonts w:ascii="Times New Roman" w:eastAsia="Times New Roman" w:hAnsi="Times New Roman" w:cs="Times New Roman"/>
          <w:sz w:val="28"/>
          <w:szCs w:val="28"/>
          <w:lang w:val="en-US"/>
        </w:rPr>
        <w:t xml:space="preserve"> và sử dụng dự phòng để xử lý tổn thất</w:t>
      </w:r>
      <w:r w:rsidR="00396251" w:rsidRPr="00CC0061">
        <w:rPr>
          <w:rFonts w:ascii="Times New Roman" w:eastAsia="Times New Roman" w:hAnsi="Times New Roman" w:cs="Times New Roman"/>
          <w:sz w:val="28"/>
          <w:szCs w:val="28"/>
          <w:lang w:val="en-US"/>
        </w:rPr>
        <w:t xml:space="preserve"> về tài sản đối với khoản nợ</w:t>
      </w:r>
      <w:r w:rsidR="00056C80" w:rsidRPr="00CC0061">
        <w:rPr>
          <w:rFonts w:ascii="Times New Roman" w:eastAsia="Times New Roman" w:hAnsi="Times New Roman" w:cs="Times New Roman"/>
          <w:sz w:val="28"/>
          <w:szCs w:val="28"/>
          <w:lang w:val="en-US"/>
        </w:rPr>
        <w:t>, cụ thể</w:t>
      </w:r>
      <w:r w:rsidR="006266B4" w:rsidRPr="00CC0061">
        <w:rPr>
          <w:rFonts w:ascii="Times New Roman" w:eastAsia="Times New Roman" w:hAnsi="Times New Roman" w:cs="Times New Roman"/>
          <w:sz w:val="28"/>
          <w:szCs w:val="28"/>
          <w:lang w:val="en-US"/>
        </w:rPr>
        <w:t>:</w:t>
      </w:r>
    </w:p>
    <w:p w14:paraId="57BCB3B6" w14:textId="77777777" w:rsidR="00133F17" w:rsidRPr="00CC0061" w:rsidRDefault="006266B4" w:rsidP="00DF2532">
      <w:pPr>
        <w:widowControl/>
        <w:spacing w:before="120" w:after="120" w:line="240" w:lineRule="auto"/>
        <w:ind w:left="-2" w:firstLineChars="202" w:firstLine="566"/>
        <w:jc w:val="both"/>
        <w:rPr>
          <w:rFonts w:ascii="Times New Roman" w:eastAsia="Times New Roman" w:hAnsi="Times New Roman" w:cs="Times New Roman"/>
          <w:sz w:val="28"/>
          <w:szCs w:val="28"/>
          <w:lang w:val="en-US"/>
        </w:rPr>
      </w:pPr>
      <w:r w:rsidRPr="00CC0061">
        <w:rPr>
          <w:rFonts w:ascii="Times New Roman" w:eastAsia="Times New Roman" w:hAnsi="Times New Roman" w:cs="Times New Roman"/>
          <w:sz w:val="28"/>
          <w:szCs w:val="28"/>
          <w:lang w:val="en-US"/>
        </w:rPr>
        <w:t xml:space="preserve">a) Sử dụng dự phòng </w:t>
      </w:r>
      <w:r w:rsidR="005F255C" w:rsidRPr="00CC0061">
        <w:rPr>
          <w:rFonts w:ascii="Times New Roman" w:eastAsia="Times New Roman" w:hAnsi="Times New Roman" w:cs="Times New Roman"/>
          <w:sz w:val="28"/>
          <w:szCs w:val="28"/>
          <w:lang w:val="en-US"/>
        </w:rPr>
        <w:t>đ</w:t>
      </w:r>
      <w:r w:rsidR="005F255C" w:rsidRPr="00CC0061">
        <w:rPr>
          <w:rFonts w:ascii="Times New Roman" w:eastAsia="Times New Roman" w:hAnsi="Times New Roman" w:cs="Times New Roman"/>
          <w:sz w:val="28"/>
          <w:szCs w:val="28"/>
        </w:rPr>
        <w:t xml:space="preserve">ể xử lý rủi ro </w:t>
      </w:r>
      <w:r w:rsidR="008842DA" w:rsidRPr="00CC0061">
        <w:rPr>
          <w:rFonts w:ascii="Times New Roman" w:eastAsia="Times New Roman" w:hAnsi="Times New Roman" w:cs="Times New Roman"/>
          <w:sz w:val="28"/>
          <w:szCs w:val="28"/>
        </w:rPr>
        <w:t xml:space="preserve">là việc tổ chức tín dụng, chi nhánh ngân hàng nước ngoài chuyển khoản nợ được xử lý rủi ro ra hạch toán trên các tài khoản ngoại bảng và tiếp tục theo dõi, có biện pháp để thu hồi nợ đầy đủ theo </w:t>
      </w:r>
      <w:r w:rsidR="00D5121E" w:rsidRPr="00CC0061">
        <w:rPr>
          <w:rFonts w:ascii="Times New Roman" w:eastAsia="Times New Roman" w:hAnsi="Times New Roman" w:cs="Times New Roman"/>
          <w:sz w:val="28"/>
          <w:szCs w:val="28"/>
        </w:rPr>
        <w:t>thỏa thuận đã ký với khách hàng</w:t>
      </w:r>
      <w:r w:rsidR="009E53E0" w:rsidRPr="00CC0061">
        <w:rPr>
          <w:rFonts w:ascii="Times New Roman" w:eastAsia="Times New Roman" w:hAnsi="Times New Roman" w:cs="Times New Roman"/>
          <w:sz w:val="28"/>
          <w:szCs w:val="28"/>
          <w:lang w:val="en-US"/>
        </w:rPr>
        <w:t xml:space="preserve"> quy định tại Điều 16 Thông tư này</w:t>
      </w:r>
      <w:r w:rsidR="00D5121E" w:rsidRPr="00CC0061">
        <w:rPr>
          <w:rFonts w:ascii="Times New Roman" w:eastAsia="Times New Roman" w:hAnsi="Times New Roman" w:cs="Times New Roman"/>
          <w:sz w:val="28"/>
          <w:szCs w:val="28"/>
          <w:lang w:val="en-US"/>
        </w:rPr>
        <w:t>;</w:t>
      </w:r>
    </w:p>
    <w:p w14:paraId="7D4735B7" w14:textId="77777777" w:rsidR="006266B4" w:rsidRPr="00CC0061" w:rsidRDefault="006266B4" w:rsidP="00DF2532">
      <w:pPr>
        <w:widowControl/>
        <w:spacing w:before="120" w:after="120" w:line="240" w:lineRule="auto"/>
        <w:ind w:left="-2" w:firstLineChars="202" w:firstLine="566"/>
        <w:jc w:val="both"/>
        <w:rPr>
          <w:rFonts w:ascii="Times New Roman" w:eastAsia="Times New Roman" w:hAnsi="Times New Roman" w:cs="Times New Roman"/>
          <w:sz w:val="28"/>
          <w:szCs w:val="28"/>
          <w:lang w:val="en-US"/>
        </w:rPr>
      </w:pPr>
      <w:r w:rsidRPr="00CC0061">
        <w:rPr>
          <w:rFonts w:ascii="Times New Roman" w:eastAsia="Times New Roman" w:hAnsi="Times New Roman" w:cs="Times New Roman"/>
          <w:sz w:val="28"/>
          <w:szCs w:val="28"/>
          <w:lang w:val="en-US"/>
        </w:rPr>
        <w:t>b) Sử dụng dự phòng để xử lý tổn thất về tài sản đối với khoản nợ quy định tại Điều 18 Thông tư này.</w:t>
      </w:r>
    </w:p>
    <w:p w14:paraId="2FE49D33" w14:textId="77777777" w:rsidR="00133F17" w:rsidRPr="00CC0061" w:rsidRDefault="008842DA" w:rsidP="00DF2532">
      <w:pPr>
        <w:widowControl/>
        <w:spacing w:before="120" w:after="120" w:line="240" w:lineRule="auto"/>
        <w:ind w:left="-2" w:firstLineChars="202" w:firstLine="568"/>
        <w:jc w:val="both"/>
        <w:rPr>
          <w:rFonts w:ascii="Times New Roman" w:eastAsia="Times New Roman" w:hAnsi="Times New Roman" w:cs="Times New Roman"/>
          <w:sz w:val="28"/>
          <w:szCs w:val="28"/>
        </w:rPr>
      </w:pPr>
      <w:r w:rsidRPr="00CC0061">
        <w:rPr>
          <w:rFonts w:ascii="Times New Roman" w:eastAsia="Times New Roman" w:hAnsi="Times New Roman" w:cs="Times New Roman"/>
          <w:b/>
          <w:sz w:val="28"/>
          <w:szCs w:val="28"/>
        </w:rPr>
        <w:t>Điều 4. Thu thập số liệu, thông tin khách hàng và công nghệ thông tin</w:t>
      </w:r>
    </w:p>
    <w:p w14:paraId="706F80C5"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color w:val="000000" w:themeColor="text1"/>
          <w:sz w:val="28"/>
          <w:szCs w:val="28"/>
        </w:rPr>
      </w:pPr>
      <w:r w:rsidRPr="00CC0061">
        <w:rPr>
          <w:rFonts w:ascii="Times New Roman" w:eastAsia="Times New Roman" w:hAnsi="Times New Roman" w:cs="Times New Roman"/>
          <w:sz w:val="28"/>
          <w:szCs w:val="28"/>
        </w:rPr>
        <w:t>1. Tổ chức tín dụng, chi nhánh ngân hàng nước ngoài có biện pháp và thường xuyên thực hiện việc thu thập, khai thác thông tin, số liệu về khách hàng, bao gồm cả thông tin từ Trung tâm Thông tin tín dụng quốc gia Việt Nam (CIC</w:t>
      </w:r>
      <w:r w:rsidRPr="00CC0061">
        <w:rPr>
          <w:rFonts w:ascii="Times New Roman" w:eastAsia="Times New Roman" w:hAnsi="Times New Roman" w:cs="Times New Roman"/>
          <w:color w:val="000000" w:themeColor="text1"/>
          <w:sz w:val="28"/>
          <w:szCs w:val="28"/>
        </w:rPr>
        <w:t>), công ty thông tin tín dụng theo quy định của pháp luật để:</w:t>
      </w:r>
    </w:p>
    <w:p w14:paraId="00ABFE35"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lang w:val="en-US"/>
        </w:rPr>
      </w:pPr>
      <w:r w:rsidRPr="00CC0061">
        <w:rPr>
          <w:rFonts w:ascii="Times New Roman" w:eastAsia="Times New Roman" w:hAnsi="Times New Roman" w:cs="Times New Roman"/>
          <w:color w:val="000000" w:themeColor="text1"/>
          <w:sz w:val="28"/>
          <w:szCs w:val="28"/>
        </w:rPr>
        <w:t xml:space="preserve">a) Xây dựng, sửa đổi, bổ sung hệ thống xếp hạng tín dụng nội bộ, quy định </w:t>
      </w:r>
      <w:r w:rsidRPr="00CC0061">
        <w:rPr>
          <w:rFonts w:ascii="Times New Roman" w:eastAsia="Times New Roman" w:hAnsi="Times New Roman" w:cs="Times New Roman"/>
          <w:sz w:val="28"/>
          <w:szCs w:val="28"/>
        </w:rPr>
        <w:t>nội bộ v</w:t>
      </w:r>
      <w:r w:rsidR="00F13541" w:rsidRPr="00CC0061">
        <w:rPr>
          <w:rFonts w:ascii="Times New Roman" w:eastAsia="Times New Roman" w:hAnsi="Times New Roman" w:cs="Times New Roman"/>
          <w:sz w:val="28"/>
          <w:szCs w:val="28"/>
        </w:rPr>
        <w:t xml:space="preserve">ề cấp tín dụng, quản lý </w:t>
      </w:r>
      <w:r w:rsidR="00F13541" w:rsidRPr="00CC0061">
        <w:rPr>
          <w:rFonts w:ascii="Times New Roman" w:eastAsia="Times New Roman" w:hAnsi="Times New Roman" w:cs="Times New Roman"/>
          <w:sz w:val="28"/>
          <w:szCs w:val="28"/>
          <w:lang w:val="en-US"/>
        </w:rPr>
        <w:t>nợ</w:t>
      </w:r>
      <w:r w:rsidR="00D5121E" w:rsidRPr="00CC0061">
        <w:rPr>
          <w:rFonts w:ascii="Times New Roman" w:eastAsia="Times New Roman" w:hAnsi="Times New Roman" w:cs="Times New Roman"/>
          <w:sz w:val="28"/>
          <w:szCs w:val="28"/>
        </w:rPr>
        <w:t>, chính sách dự phòng rủi ro</w:t>
      </w:r>
      <w:r w:rsidR="00D5121E" w:rsidRPr="00CC0061">
        <w:rPr>
          <w:rFonts w:ascii="Times New Roman" w:eastAsia="Times New Roman" w:hAnsi="Times New Roman" w:cs="Times New Roman"/>
          <w:sz w:val="28"/>
          <w:szCs w:val="28"/>
          <w:lang w:val="en-US"/>
        </w:rPr>
        <w:t>;</w:t>
      </w:r>
    </w:p>
    <w:p w14:paraId="6143D573"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lang w:val="en-US"/>
        </w:rPr>
      </w:pPr>
      <w:r w:rsidRPr="00CC0061">
        <w:rPr>
          <w:rFonts w:ascii="Times New Roman" w:eastAsia="Times New Roman" w:hAnsi="Times New Roman" w:cs="Times New Roman"/>
          <w:sz w:val="28"/>
          <w:szCs w:val="28"/>
        </w:rPr>
        <w:lastRenderedPageBreak/>
        <w:t>b) Theo dõi, đánh giá tình hình tài chính, khả năng trả nợ của khách hàng sau khi đã xếp hạng theo hệ thống xếp hạng tín dụng nội bộ, có biện pháp quản lý rủi ro, quản</w:t>
      </w:r>
      <w:r w:rsidR="00D5121E" w:rsidRPr="00CC0061">
        <w:rPr>
          <w:rFonts w:ascii="Times New Roman" w:eastAsia="Times New Roman" w:hAnsi="Times New Roman" w:cs="Times New Roman"/>
          <w:sz w:val="28"/>
          <w:szCs w:val="28"/>
        </w:rPr>
        <w:t xml:space="preserve"> lý chất lượng tín dụng phù hợp</w:t>
      </w:r>
      <w:r w:rsidR="00D5121E" w:rsidRPr="00CC0061">
        <w:rPr>
          <w:rFonts w:ascii="Times New Roman" w:eastAsia="Times New Roman" w:hAnsi="Times New Roman" w:cs="Times New Roman"/>
          <w:sz w:val="28"/>
          <w:szCs w:val="28"/>
          <w:lang w:val="en-US"/>
        </w:rPr>
        <w:t>;</w:t>
      </w:r>
    </w:p>
    <w:p w14:paraId="02607E57"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xml:space="preserve">c) Thực hiện </w:t>
      </w:r>
      <w:r w:rsidRPr="00CC0061">
        <w:rPr>
          <w:rFonts w:ascii="Times New Roman" w:eastAsia="Times New Roman" w:hAnsi="Times New Roman" w:cs="Times New Roman"/>
          <w:color w:val="000000" w:themeColor="text1"/>
          <w:sz w:val="28"/>
          <w:szCs w:val="28"/>
        </w:rPr>
        <w:t>tự</w:t>
      </w:r>
      <w:r w:rsidRPr="00CC0061">
        <w:rPr>
          <w:rFonts w:ascii="Times New Roman" w:eastAsia="Times New Roman" w:hAnsi="Times New Roman" w:cs="Times New Roman"/>
          <w:sz w:val="28"/>
          <w:szCs w:val="28"/>
        </w:rPr>
        <w:t xml:space="preserve"> phân loại nợ, cam kết ngoại bảng, trích lập dự phòng rủi ro và sử dụng dự phòng</w:t>
      </w:r>
      <w:r w:rsidR="000804FD" w:rsidRPr="00CC0061">
        <w:rPr>
          <w:rFonts w:ascii="Times New Roman" w:eastAsia="Times New Roman" w:hAnsi="Times New Roman" w:cs="Times New Roman"/>
          <w:sz w:val="28"/>
          <w:szCs w:val="28"/>
          <w:lang w:val="en-US"/>
        </w:rPr>
        <w:t xml:space="preserve"> rủi ro</w:t>
      </w:r>
      <w:r w:rsidRPr="00CC0061">
        <w:rPr>
          <w:rFonts w:ascii="Times New Roman" w:eastAsia="Times New Roman" w:hAnsi="Times New Roman" w:cs="Times New Roman"/>
          <w:sz w:val="28"/>
          <w:szCs w:val="28"/>
        </w:rPr>
        <w:t xml:space="preserve"> theo quy định tại Thông tư này.</w:t>
      </w:r>
    </w:p>
    <w:p w14:paraId="4ADB7B37"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2. Tổ chức tín dụng, chi nhánh ngân hàng nước ng</w:t>
      </w:r>
      <w:bookmarkStart w:id="3" w:name="bookmark=id.3dy6vkm" w:colFirst="0" w:colLast="0"/>
      <w:bookmarkEnd w:id="3"/>
      <w:r w:rsidRPr="00CC0061">
        <w:rPr>
          <w:rFonts w:ascii="Times New Roman" w:eastAsia="Times New Roman" w:hAnsi="Times New Roman" w:cs="Times New Roman"/>
          <w:sz w:val="28"/>
          <w:szCs w:val="28"/>
        </w:rPr>
        <w:t xml:space="preserve">oài phải xây dựng hệ thống công nghệ thông tin trong toàn hệ thống đáp ứng yêu cầu quản lý số liệu, thông tin khách hàng, vận hành và quản lý hệ thống xếp hạng tín dụng nội bộ, quản trị rủi ro, thực hiện phân loại nợ, cam kết ngoại bảng, trích </w:t>
      </w:r>
      <w:r w:rsidR="000804FD" w:rsidRPr="00CC0061">
        <w:rPr>
          <w:rFonts w:ascii="Times New Roman" w:eastAsia="Times New Roman" w:hAnsi="Times New Roman" w:cs="Times New Roman"/>
          <w:sz w:val="28"/>
          <w:szCs w:val="28"/>
        </w:rPr>
        <w:t>lập và sử dụng dự phòng</w:t>
      </w:r>
      <w:r w:rsidRPr="00CC0061">
        <w:rPr>
          <w:rFonts w:ascii="Times New Roman" w:eastAsia="Times New Roman" w:hAnsi="Times New Roman" w:cs="Times New Roman"/>
          <w:sz w:val="28"/>
          <w:szCs w:val="28"/>
        </w:rPr>
        <w:t xml:space="preserve"> rủi ro.</w:t>
      </w:r>
    </w:p>
    <w:p w14:paraId="6112BBE1" w14:textId="77777777" w:rsidR="00133F17" w:rsidRPr="00CC0061" w:rsidRDefault="008842DA" w:rsidP="00DF2532">
      <w:pPr>
        <w:widowControl/>
        <w:spacing w:before="120" w:after="120" w:line="240" w:lineRule="auto"/>
        <w:ind w:left="-2" w:firstLineChars="202" w:firstLine="568"/>
        <w:jc w:val="both"/>
        <w:rPr>
          <w:rFonts w:ascii="Times New Roman" w:eastAsia="Times New Roman" w:hAnsi="Times New Roman" w:cs="Times New Roman"/>
          <w:sz w:val="28"/>
          <w:szCs w:val="28"/>
        </w:rPr>
      </w:pPr>
      <w:r w:rsidRPr="00CC0061">
        <w:rPr>
          <w:rFonts w:ascii="Times New Roman" w:eastAsia="Times New Roman" w:hAnsi="Times New Roman" w:cs="Times New Roman"/>
          <w:b/>
          <w:sz w:val="28"/>
          <w:szCs w:val="28"/>
        </w:rPr>
        <w:t>Điều 5. Hệ thống xếp hạng tín dụng nội bộ</w:t>
      </w:r>
    </w:p>
    <w:p w14:paraId="26BEA1D9"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color w:val="FF0000"/>
          <w:sz w:val="28"/>
          <w:szCs w:val="28"/>
        </w:rPr>
      </w:pPr>
      <w:r w:rsidRPr="00CC0061">
        <w:rPr>
          <w:rFonts w:ascii="Times New Roman" w:eastAsia="Times New Roman" w:hAnsi="Times New Roman" w:cs="Times New Roman"/>
          <w:sz w:val="28"/>
          <w:szCs w:val="28"/>
        </w:rPr>
        <w:t>1. Hệ thống xếp hạng tín dụng nội bộ là hệ thống gồm:</w:t>
      </w:r>
      <w:r w:rsidRPr="00CC0061">
        <w:rPr>
          <w:rFonts w:ascii="Times New Roman" w:eastAsia="Times New Roman" w:hAnsi="Times New Roman" w:cs="Times New Roman"/>
          <w:color w:val="FF0000"/>
          <w:sz w:val="28"/>
          <w:szCs w:val="28"/>
        </w:rPr>
        <w:t xml:space="preserve"> </w:t>
      </w:r>
    </w:p>
    <w:p w14:paraId="7A53C603"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color w:val="000000" w:themeColor="text1"/>
          <w:sz w:val="28"/>
          <w:szCs w:val="28"/>
          <w:lang w:val="en-US"/>
        </w:rPr>
      </w:pPr>
      <w:r w:rsidRPr="00CC0061">
        <w:rPr>
          <w:rFonts w:ascii="Times New Roman" w:eastAsia="Times New Roman" w:hAnsi="Times New Roman" w:cs="Times New Roman"/>
          <w:color w:val="000000" w:themeColor="text1"/>
          <w:sz w:val="28"/>
          <w:szCs w:val="28"/>
        </w:rPr>
        <w:t>a) Các bộ chỉ tiêu tài chính và phi tài chính, các quy trình đánh giá khả năng trả nợ, thanh toán của khách hàng trên cơ sở định tính và định lượng về mặt tài chính, tình hình kinh doanh, quản trị, uy tín</w:t>
      </w:r>
      <w:bookmarkStart w:id="4" w:name="bookmark=id.1t3h5sf" w:colFirst="0" w:colLast="0"/>
      <w:bookmarkEnd w:id="4"/>
      <w:r w:rsidR="00225011" w:rsidRPr="00CC0061">
        <w:rPr>
          <w:rFonts w:ascii="Times New Roman" w:eastAsia="Times New Roman" w:hAnsi="Times New Roman" w:cs="Times New Roman"/>
          <w:color w:val="000000" w:themeColor="text1"/>
          <w:sz w:val="28"/>
          <w:szCs w:val="28"/>
        </w:rPr>
        <w:t xml:space="preserve"> của khách hàng</w:t>
      </w:r>
      <w:r w:rsidR="00225011" w:rsidRPr="00CC0061">
        <w:rPr>
          <w:rFonts w:ascii="Times New Roman" w:eastAsia="Times New Roman" w:hAnsi="Times New Roman" w:cs="Times New Roman"/>
          <w:color w:val="000000" w:themeColor="text1"/>
          <w:sz w:val="28"/>
          <w:szCs w:val="28"/>
          <w:lang w:val="en-US"/>
        </w:rPr>
        <w:t>;</w:t>
      </w:r>
    </w:p>
    <w:p w14:paraId="7AE06C87"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color w:val="FF0000"/>
          <w:sz w:val="28"/>
          <w:szCs w:val="28"/>
        </w:rPr>
      </w:pPr>
      <w:r w:rsidRPr="00CC0061">
        <w:rPr>
          <w:rFonts w:ascii="Times New Roman" w:eastAsia="Times New Roman" w:hAnsi="Times New Roman" w:cs="Times New Roman"/>
          <w:color w:val="000000" w:themeColor="text1"/>
          <w:sz w:val="28"/>
          <w:szCs w:val="28"/>
        </w:rPr>
        <w:t xml:space="preserve">b) Phương pháp đánh giá xếp hạng cho từng nhóm đối tượng khách hàng khác nhau, kể cả các đối tượng bị hạn chế cấp tín dụng và những người có liên quan của đối tượng </w:t>
      </w:r>
      <w:r w:rsidRPr="00CC0061">
        <w:rPr>
          <w:rFonts w:ascii="Times New Roman" w:eastAsia="Times New Roman" w:hAnsi="Times New Roman" w:cs="Times New Roman"/>
          <w:sz w:val="28"/>
          <w:szCs w:val="28"/>
        </w:rPr>
        <w:t>này.</w:t>
      </w:r>
    </w:p>
    <w:p w14:paraId="0EB07899"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2. Hệ thống xếp hạng tín dụng nội bộ phải được xây dựng theo các nguyên tắc sau:</w:t>
      </w:r>
    </w:p>
    <w:p w14:paraId="230F3B4F"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lang w:val="en-US"/>
        </w:rPr>
      </w:pPr>
      <w:r w:rsidRPr="00CC0061">
        <w:rPr>
          <w:rFonts w:ascii="Times New Roman" w:eastAsia="Times New Roman" w:hAnsi="Times New Roman" w:cs="Times New Roman"/>
          <w:sz w:val="28"/>
          <w:szCs w:val="28"/>
        </w:rPr>
        <w:t>a) Xây dựng trên cơ sở số liệu, thông tin của tất cả khách hàng đã thu thập được trong thời gian ít nhất 01 (một) năm liền kề trước năm xây dựng hệ</w:t>
      </w:r>
      <w:r w:rsidR="00225011" w:rsidRPr="00CC0061">
        <w:rPr>
          <w:rFonts w:ascii="Times New Roman" w:eastAsia="Times New Roman" w:hAnsi="Times New Roman" w:cs="Times New Roman"/>
          <w:sz w:val="28"/>
          <w:szCs w:val="28"/>
        </w:rPr>
        <w:t xml:space="preserve"> thống xếp hạng tín dụng nội bộ</w:t>
      </w:r>
      <w:r w:rsidR="00225011" w:rsidRPr="00CC0061">
        <w:rPr>
          <w:rFonts w:ascii="Times New Roman" w:eastAsia="Times New Roman" w:hAnsi="Times New Roman" w:cs="Times New Roman"/>
          <w:sz w:val="28"/>
          <w:szCs w:val="28"/>
          <w:lang w:val="en-US"/>
        </w:rPr>
        <w:t>;</w:t>
      </w:r>
    </w:p>
    <w:p w14:paraId="1A63023E"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lang w:val="en-US"/>
        </w:rPr>
      </w:pPr>
      <w:r w:rsidRPr="00CC0061">
        <w:rPr>
          <w:rFonts w:ascii="Times New Roman" w:eastAsia="Times New Roman" w:hAnsi="Times New Roman" w:cs="Times New Roman"/>
          <w:sz w:val="28"/>
          <w:szCs w:val="28"/>
        </w:rPr>
        <w:t>b) Ít nhất mỗi năm một lần, hệ thống xếp hạng tín dụng nội bộ phải được xem xét, sửa đổi, bổ sung trên cơ sở số liệu, thông tin khá</w:t>
      </w:r>
      <w:r w:rsidR="00225011" w:rsidRPr="00CC0061">
        <w:rPr>
          <w:rFonts w:ascii="Times New Roman" w:eastAsia="Times New Roman" w:hAnsi="Times New Roman" w:cs="Times New Roman"/>
          <w:sz w:val="28"/>
          <w:szCs w:val="28"/>
        </w:rPr>
        <w:t>ch hàng thu thập được trong năm</w:t>
      </w:r>
      <w:r w:rsidR="00225011" w:rsidRPr="00CC0061">
        <w:rPr>
          <w:rFonts w:ascii="Times New Roman" w:eastAsia="Times New Roman" w:hAnsi="Times New Roman" w:cs="Times New Roman"/>
          <w:sz w:val="28"/>
          <w:szCs w:val="28"/>
          <w:lang w:val="en-US"/>
        </w:rPr>
        <w:t>;</w:t>
      </w:r>
    </w:p>
    <w:p w14:paraId="6359D55F"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lang w:val="en-US"/>
        </w:rPr>
      </w:pPr>
      <w:r w:rsidRPr="00CC0061">
        <w:rPr>
          <w:rFonts w:ascii="Times New Roman" w:eastAsia="Times New Roman" w:hAnsi="Times New Roman" w:cs="Times New Roman"/>
          <w:sz w:val="28"/>
          <w:szCs w:val="28"/>
        </w:rPr>
        <w:t>c) Có quy định các mức xếp hạng tương ứng vớ</w:t>
      </w:r>
      <w:r w:rsidR="00225011" w:rsidRPr="00CC0061">
        <w:rPr>
          <w:rFonts w:ascii="Times New Roman" w:eastAsia="Times New Roman" w:hAnsi="Times New Roman" w:cs="Times New Roman"/>
          <w:sz w:val="28"/>
          <w:szCs w:val="28"/>
        </w:rPr>
        <w:t>i mức độ rủi ro từ thấp đến cao</w:t>
      </w:r>
      <w:r w:rsidR="00225011" w:rsidRPr="00CC0061">
        <w:rPr>
          <w:rFonts w:ascii="Times New Roman" w:eastAsia="Times New Roman" w:hAnsi="Times New Roman" w:cs="Times New Roman"/>
          <w:sz w:val="28"/>
          <w:szCs w:val="28"/>
          <w:lang w:val="en-US"/>
        </w:rPr>
        <w:t>;</w:t>
      </w:r>
    </w:p>
    <w:p w14:paraId="085B76FB"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d) Được Hội đồng quản trị (đối với tổ chức tín dụng là công ty cổ phần), Hội đồng thành viên (đối với tổ chức tín dụng là công ty trách nhiệm hữu hạn), Tổng giám đốc hoặc Giám đốc (đối với chi nhánh ngân hàng nước ngoài) phê duyệt áp dụng.</w:t>
      </w:r>
    </w:p>
    <w:p w14:paraId="37F02A04"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3. Tổ chức tín dụng, chi nhánh ngân hàng nước ngoài phải xây dựng hệ thống xếp hạng tín dụng nội bộ để xếp hạng khách hàng theo định kỳ hoặc khi cần thiết, làm cơ sở cho việc xét duyệt cấp tín dụng, quản lý chất lượng tín dụng, xây dựng chính sách dự phòng rủi ro phù hợp với phạm vi hoạt động, đối tượng khách hàng và tình hình thực tế của tổ chức tín dụng, chi nhánh ngân hàng nước ngoài.</w:t>
      </w:r>
    </w:p>
    <w:p w14:paraId="1388A316"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Tổ chức tín dụng phi ngân hàng không bắt buộc phải có hệ thống xếp hạng tín dụng nội bộ.</w:t>
      </w:r>
    </w:p>
    <w:p w14:paraId="7BE54F57"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lastRenderedPageBreak/>
        <w:t xml:space="preserve">4. Trong thời hạn 10 (mười) ngày kể từ ngày ban hành, sửa đổi, bổ sung hệ thống xếp hạng tín dụng nội bộ, tổ chức tín dụng, chi nhánh ngân hàng nước ngoài phải gửi trực tiếp hoặc bằng đường bưu điện </w:t>
      </w:r>
      <w:r w:rsidR="00E6126B" w:rsidRPr="00CC0061">
        <w:rPr>
          <w:rFonts w:ascii="Times New Roman" w:eastAsia="Times New Roman" w:hAnsi="Times New Roman" w:cs="Times New Roman"/>
          <w:sz w:val="28"/>
          <w:szCs w:val="28"/>
        </w:rPr>
        <w:t xml:space="preserve">hoặc </w:t>
      </w:r>
      <w:r w:rsidR="00E6126B" w:rsidRPr="00CC0061">
        <w:rPr>
          <w:rFonts w:ascii="Times New Roman" w:eastAsia="Times New Roman" w:hAnsi="Times New Roman" w:cs="Times New Roman"/>
          <w:sz w:val="28"/>
          <w:szCs w:val="28"/>
          <w:lang w:val="en-US"/>
        </w:rPr>
        <w:t>phương tiện</w:t>
      </w:r>
      <w:r w:rsidRPr="00CC0061">
        <w:rPr>
          <w:rFonts w:ascii="Times New Roman" w:eastAsia="Times New Roman" w:hAnsi="Times New Roman" w:cs="Times New Roman"/>
          <w:sz w:val="28"/>
          <w:szCs w:val="28"/>
        </w:rPr>
        <w:t xml:space="preserve"> điện tử cho Ngân hàng Nhà nước theo quy định tại khoản 5 Điều này các văn bản sau:</w:t>
      </w:r>
    </w:p>
    <w:p w14:paraId="2721C055"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a) Đối với trường hợp ban hành mới:</w:t>
      </w:r>
    </w:p>
    <w:p w14:paraId="54DC3CF1"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(i) Văn bản báo cáo về việc ban hành, áp dụng hệ thống xếp hạng tín dụng nội bộ;</w:t>
      </w:r>
    </w:p>
    <w:p w14:paraId="201ACF02"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(ii) Hệ thống xếp hạng tín dụng nội bộ, tài liệu mô tả về hệ thống xếp hạng tín dụng nội bộ, quy trình thu thập thông tin, số liệu về khách hàng, xếp hạng khách hàng;</w:t>
      </w:r>
    </w:p>
    <w:p w14:paraId="3F8430F4"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(iii) Hướng dẫn sử dụng hệ thống xếp hạng tín dụng nội bộ, bao gồm cả việc phân cấp, ủy quyền trong việc thu thập thông tin, số liệu về khách hàng, xếp hạng khách hàng.</w:t>
      </w:r>
    </w:p>
    <w:p w14:paraId="4D56E771"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b) Đối với trường hợp sửa đổi, bổ sung:</w:t>
      </w:r>
    </w:p>
    <w:p w14:paraId="19F9BBFC"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(i) Văn bản báo cáo về việc sửa đổi, bổ sung hệ thống xếp hạng tín dụng nội bộ, trong đó báo cáo rõ lý do sửa đổi, bổ sung;</w:t>
      </w:r>
    </w:p>
    <w:p w14:paraId="1CAD7589"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lang w:val="en-US"/>
        </w:rPr>
      </w:pPr>
      <w:r w:rsidRPr="00CC0061">
        <w:rPr>
          <w:rFonts w:ascii="Times New Roman" w:eastAsia="Times New Roman" w:hAnsi="Times New Roman" w:cs="Times New Roman"/>
          <w:sz w:val="28"/>
          <w:szCs w:val="28"/>
        </w:rPr>
        <w:t xml:space="preserve">(ii) </w:t>
      </w:r>
      <w:bookmarkStart w:id="5" w:name="bookmark=id.4d34og8" w:colFirst="0" w:colLast="0"/>
      <w:bookmarkEnd w:id="5"/>
      <w:r w:rsidRPr="00CC0061">
        <w:rPr>
          <w:rFonts w:ascii="Times New Roman" w:eastAsia="Times New Roman" w:hAnsi="Times New Roman" w:cs="Times New Roman"/>
          <w:sz w:val="28"/>
          <w:szCs w:val="28"/>
        </w:rPr>
        <w:t>Các văn bản sửa đổi, bổ sung hệ thống xếp hạng tín dụng</w:t>
      </w:r>
      <w:r w:rsidR="00225011" w:rsidRPr="00CC0061">
        <w:rPr>
          <w:rFonts w:ascii="Times New Roman" w:eastAsia="Times New Roman" w:hAnsi="Times New Roman" w:cs="Times New Roman"/>
          <w:sz w:val="28"/>
          <w:szCs w:val="28"/>
          <w:lang w:val="en-US"/>
        </w:rPr>
        <w:t xml:space="preserve"> nội bộ</w:t>
      </w:r>
      <w:r w:rsidRPr="00CC0061">
        <w:rPr>
          <w:rFonts w:ascii="Times New Roman" w:eastAsia="Times New Roman" w:hAnsi="Times New Roman" w:cs="Times New Roman"/>
          <w:sz w:val="28"/>
          <w:szCs w:val="28"/>
        </w:rPr>
        <w:t xml:space="preserve"> và hướng dẫn sử dụng hệ thống xếp hạng tín dụng nội bộ.</w:t>
      </w:r>
    </w:p>
    <w:p w14:paraId="4582CB15"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5. Tổ chức tín dụng, chi nhánh ngân hàng nước ngoài gửi báo cáo cho Ngân hàng Nhà nước theo quy định tại khoản 4 Điều này như sau:</w:t>
      </w:r>
    </w:p>
    <w:p w14:paraId="45B5B4F4"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xml:space="preserve">a) Tổ chức tín dụng, chi nhánh ngân hàng nước ngoài gửi báo cáo cho Ngân hàng Nhà nước (Cơ quan Thanh tra, giám sát ngân hàng), trừ </w:t>
      </w:r>
      <w:r w:rsidR="00F91FB0">
        <w:rPr>
          <w:rFonts w:ascii="Times New Roman" w:eastAsia="Times New Roman" w:hAnsi="Times New Roman" w:cs="Times New Roman"/>
          <w:sz w:val="28"/>
          <w:szCs w:val="28"/>
        </w:rPr>
        <w:t>trường hợp quy định tại điểm b K</w:t>
      </w:r>
      <w:r w:rsidRPr="00CC0061">
        <w:rPr>
          <w:rFonts w:ascii="Times New Roman" w:eastAsia="Times New Roman" w:hAnsi="Times New Roman" w:cs="Times New Roman"/>
          <w:sz w:val="28"/>
          <w:szCs w:val="28"/>
        </w:rPr>
        <w:t>hoản này;</w:t>
      </w:r>
    </w:p>
    <w:p w14:paraId="66EBC3B0"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b) Chi nhánh ngân hàng nước ngoài thuộc đối tượng thanh tra, giám sát an toàn vi mô của Ngân hàng Nhà nước chi nhánh tỉnh, thành phố trực thuộc Trung ương gửi báo cáo cho Ngân hàng Nhà nước chi nhánh tỉnh, thành phố trực thuộc Trung ương đó.</w:t>
      </w:r>
    </w:p>
    <w:p w14:paraId="7DBF28FA" w14:textId="77777777" w:rsidR="00133F17" w:rsidRPr="00CC0061" w:rsidRDefault="008842DA" w:rsidP="00DF2532">
      <w:pPr>
        <w:widowControl/>
        <w:spacing w:before="120" w:after="120" w:line="240" w:lineRule="auto"/>
        <w:ind w:left="-2" w:firstLineChars="202" w:firstLine="568"/>
        <w:jc w:val="both"/>
        <w:rPr>
          <w:rFonts w:ascii="Times New Roman" w:eastAsia="Times New Roman" w:hAnsi="Times New Roman" w:cs="Times New Roman"/>
          <w:sz w:val="28"/>
          <w:szCs w:val="28"/>
        </w:rPr>
      </w:pPr>
      <w:r w:rsidRPr="00CC0061">
        <w:rPr>
          <w:rFonts w:ascii="Times New Roman" w:eastAsia="Times New Roman" w:hAnsi="Times New Roman" w:cs="Times New Roman"/>
          <w:b/>
          <w:sz w:val="28"/>
          <w:szCs w:val="28"/>
        </w:rPr>
        <w:t xml:space="preserve">Điều 6. Quy định nội bộ về cấp tín dụng, </w:t>
      </w:r>
      <w:r w:rsidR="00F13541" w:rsidRPr="00CC0061">
        <w:rPr>
          <w:rFonts w:ascii="Times New Roman" w:eastAsia="Times New Roman" w:hAnsi="Times New Roman" w:cs="Times New Roman"/>
          <w:b/>
          <w:sz w:val="28"/>
          <w:szCs w:val="28"/>
        </w:rPr>
        <w:t>quản lý nợ</w:t>
      </w:r>
      <w:r w:rsidRPr="00CC0061">
        <w:rPr>
          <w:rFonts w:ascii="Times New Roman" w:eastAsia="Times New Roman" w:hAnsi="Times New Roman" w:cs="Times New Roman"/>
          <w:b/>
          <w:sz w:val="28"/>
          <w:szCs w:val="28"/>
        </w:rPr>
        <w:t>, chính sách dự phòng rủi ro</w:t>
      </w:r>
    </w:p>
    <w:p w14:paraId="2993EA32"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xml:space="preserve">1. Tổ chức tín dụng, chi nhánh ngân hàng nước ngoài phải ban hành quy định nội bộ về cấp tín dụng, </w:t>
      </w:r>
      <w:r w:rsidR="00F13541" w:rsidRPr="00CC0061">
        <w:rPr>
          <w:rFonts w:ascii="Times New Roman" w:eastAsia="Times New Roman" w:hAnsi="Times New Roman" w:cs="Times New Roman"/>
          <w:sz w:val="28"/>
          <w:szCs w:val="28"/>
        </w:rPr>
        <w:t>quản lý nợ</w:t>
      </w:r>
      <w:r w:rsidRPr="00CC0061">
        <w:rPr>
          <w:rFonts w:ascii="Times New Roman" w:eastAsia="Times New Roman" w:hAnsi="Times New Roman" w:cs="Times New Roman"/>
          <w:sz w:val="28"/>
          <w:szCs w:val="28"/>
        </w:rPr>
        <w:t>, chính sách dự phòng rủi ro.</w:t>
      </w:r>
    </w:p>
    <w:p w14:paraId="2A8C3EE1"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2. Quy định nội bộ v</w:t>
      </w:r>
      <w:r w:rsidR="00F13541" w:rsidRPr="00CC0061">
        <w:rPr>
          <w:rFonts w:ascii="Times New Roman" w:eastAsia="Times New Roman" w:hAnsi="Times New Roman" w:cs="Times New Roman"/>
          <w:sz w:val="28"/>
          <w:szCs w:val="28"/>
        </w:rPr>
        <w:t xml:space="preserve">ề cấp tín dụng, quản lý </w:t>
      </w:r>
      <w:r w:rsidR="00F13541" w:rsidRPr="00CC0061">
        <w:rPr>
          <w:rFonts w:ascii="Times New Roman" w:eastAsia="Times New Roman" w:hAnsi="Times New Roman" w:cs="Times New Roman"/>
          <w:sz w:val="28"/>
          <w:szCs w:val="28"/>
          <w:lang w:val="en-US"/>
        </w:rPr>
        <w:t>nợ</w:t>
      </w:r>
      <w:r w:rsidRPr="00CC0061">
        <w:rPr>
          <w:rFonts w:ascii="Times New Roman" w:eastAsia="Times New Roman" w:hAnsi="Times New Roman" w:cs="Times New Roman"/>
          <w:sz w:val="28"/>
          <w:szCs w:val="28"/>
        </w:rPr>
        <w:t xml:space="preserve"> tối thiểu phải đáp ứng các yêu cầu sau:</w:t>
      </w:r>
    </w:p>
    <w:p w14:paraId="615518D9"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a) Được xây dựng trên cơ sở thông tin, số liệu khách hàng đã thu thập được, kết quả xếp hạng khách hàng theo hệ thống xếp hạng tín dụng nội bộ;</w:t>
      </w:r>
    </w:p>
    <w:p w14:paraId="18A7383E"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b) Được sử dụng thống nhất trong toàn hệ thống, làm cơ sở để thẩm định, phê duyệt cấp</w:t>
      </w:r>
      <w:r w:rsidR="00F13541" w:rsidRPr="00CC0061">
        <w:rPr>
          <w:rFonts w:ascii="Times New Roman" w:eastAsia="Times New Roman" w:hAnsi="Times New Roman" w:cs="Times New Roman"/>
          <w:sz w:val="28"/>
          <w:szCs w:val="28"/>
        </w:rPr>
        <w:t xml:space="preserve"> tín dụng, quản lý </w:t>
      </w:r>
      <w:r w:rsidR="00F13541" w:rsidRPr="00CC0061">
        <w:rPr>
          <w:rFonts w:ascii="Times New Roman" w:eastAsia="Times New Roman" w:hAnsi="Times New Roman" w:cs="Times New Roman"/>
          <w:sz w:val="28"/>
          <w:szCs w:val="28"/>
          <w:lang w:val="en-US"/>
        </w:rPr>
        <w:t>nợ</w:t>
      </w:r>
      <w:r w:rsidRPr="00CC0061">
        <w:rPr>
          <w:rFonts w:ascii="Times New Roman" w:eastAsia="Times New Roman" w:hAnsi="Times New Roman" w:cs="Times New Roman"/>
          <w:sz w:val="28"/>
          <w:szCs w:val="28"/>
        </w:rPr>
        <w:t xml:space="preserve"> đối với khách hàng cụ thể;</w:t>
      </w:r>
    </w:p>
    <w:p w14:paraId="62255C37"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lastRenderedPageBreak/>
        <w:t>c) Có quy định chính sách tín dụng đối với khách hàng, trong đó bao gồm quy định về điều kiện cấp tín dụng, hạn mức cấp tín dụng, lãi suất, hồ sơ, trình tự, thủ tục, quy trình thẩm định, phê duyệ</w:t>
      </w:r>
      <w:r w:rsidR="00F13541" w:rsidRPr="00CC0061">
        <w:rPr>
          <w:rFonts w:ascii="Times New Roman" w:eastAsia="Times New Roman" w:hAnsi="Times New Roman" w:cs="Times New Roman"/>
          <w:sz w:val="28"/>
          <w:szCs w:val="28"/>
        </w:rPr>
        <w:t xml:space="preserve">t cấp tín dụng, quản lý </w:t>
      </w:r>
      <w:r w:rsidR="00F13541" w:rsidRPr="00CC0061">
        <w:rPr>
          <w:rFonts w:ascii="Times New Roman" w:eastAsia="Times New Roman" w:hAnsi="Times New Roman" w:cs="Times New Roman"/>
          <w:sz w:val="28"/>
          <w:szCs w:val="28"/>
          <w:lang w:val="en-US"/>
        </w:rPr>
        <w:t>nợ</w:t>
      </w:r>
      <w:r w:rsidRPr="00CC0061">
        <w:rPr>
          <w:rFonts w:ascii="Times New Roman" w:eastAsia="Times New Roman" w:hAnsi="Times New Roman" w:cs="Times New Roman"/>
          <w:sz w:val="28"/>
          <w:szCs w:val="28"/>
        </w:rPr>
        <w:t>;</w:t>
      </w:r>
    </w:p>
    <w:p w14:paraId="4E4FA4F0"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d) Có quy định về quản lý nhằm đảm bảo tuân thủ quy định của Ngân hàng Nhà nước về các tỷ lệ đảm bảo an toàn trong hoạt động của tổ chức tín dụng, chi nhánh ngân hàng nước ngoài;</w:t>
      </w:r>
    </w:p>
    <w:p w14:paraId="607767CC"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đ) Có quy định về trách nhiệm, quyền hạn của các đơn vị, cá nhân trong việc thẩm định, phê duyệt cấp tín dụng, quản lý chất lượng tín dụng, quản lý tài sản bảo đảm;</w:t>
      </w:r>
    </w:p>
    <w:p w14:paraId="5FD5EA6E"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e) Có quy định về quy trình, nội dung kiểm tra, kiểm soát trước, trong và sau khi cấp tín dụng;</w:t>
      </w:r>
    </w:p>
    <w:p w14:paraId="2C8F5853"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g) Có quy định về biện pháp bảo đảm, thẩm định và quản lý tài sản bảo đảm;</w:t>
      </w:r>
    </w:p>
    <w:p w14:paraId="123C443E"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h) Có quy định về định giá tài sản bảo đảm, bao gồm nguyên tắc, định kỳ, phương pháp, quy trình và trách nhiệm của từng đơn vị, cá nhân có liên quan đến việc định giá tài sản bảo đảm theo quy định của pháp luật để đảm bảo giá trị tài sản bảo đảm phù hợp với giá trị thị trường khi tính số tiền trích lập dự phòng cụ thể theo quy định tại Thông tư này;</w:t>
      </w:r>
    </w:p>
    <w:p w14:paraId="2D12BB11"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i) Có quy định về các biện pháp thu hồi nợ.</w:t>
      </w:r>
    </w:p>
    <w:p w14:paraId="429F4C06"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3. Chính sách dự phòng rủi ro tối thiểu phải đáp ứng các yêu cầu sau:</w:t>
      </w:r>
    </w:p>
    <w:p w14:paraId="74345BA4"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a) Phù hợp với các quy định</w:t>
      </w:r>
      <w:r w:rsidR="00F36A05">
        <w:rPr>
          <w:rFonts w:ascii="Times New Roman" w:eastAsia="Times New Roman" w:hAnsi="Times New Roman" w:cs="Times New Roman"/>
          <w:sz w:val="28"/>
          <w:szCs w:val="28"/>
          <w:lang w:val="en-US"/>
        </w:rPr>
        <w:t xml:space="preserve"> của</w:t>
      </w:r>
      <w:r w:rsidRPr="00CC0061">
        <w:rPr>
          <w:rFonts w:ascii="Times New Roman" w:eastAsia="Times New Roman" w:hAnsi="Times New Roman" w:cs="Times New Roman"/>
          <w:sz w:val="28"/>
          <w:szCs w:val="28"/>
        </w:rPr>
        <w:t xml:space="preserve"> pháp luật về chế độ kế toán, tài chính và báo cáo, thống kê;</w:t>
      </w:r>
    </w:p>
    <w:p w14:paraId="17AC9E23"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b) Có quy trình thu thập thông tin, số liệu về khách hàng, bảo đảm phân loại nợ, cam kết ngoại bảng chính xá</w:t>
      </w:r>
      <w:r w:rsidR="00016385" w:rsidRPr="00CC0061">
        <w:rPr>
          <w:rFonts w:ascii="Times New Roman" w:eastAsia="Times New Roman" w:hAnsi="Times New Roman" w:cs="Times New Roman"/>
          <w:sz w:val="28"/>
          <w:szCs w:val="28"/>
        </w:rPr>
        <w:t xml:space="preserve">c, quản lý nợ xấu, quản lý </w:t>
      </w:r>
      <w:r w:rsidR="00016385" w:rsidRPr="00CC0061">
        <w:rPr>
          <w:rFonts w:ascii="Times New Roman" w:eastAsia="Times New Roman" w:hAnsi="Times New Roman" w:cs="Times New Roman"/>
          <w:sz w:val="28"/>
          <w:szCs w:val="28"/>
          <w:lang w:val="en-US"/>
        </w:rPr>
        <w:t>số dư</w:t>
      </w:r>
      <w:r w:rsidRPr="00CC0061">
        <w:rPr>
          <w:rFonts w:ascii="Times New Roman" w:eastAsia="Times New Roman" w:hAnsi="Times New Roman" w:cs="Times New Roman"/>
          <w:sz w:val="28"/>
          <w:szCs w:val="28"/>
        </w:rPr>
        <w:t xml:space="preserve"> cấp tín dụng xấu, trích lập đầy đủ dự phòng </w:t>
      </w:r>
      <w:r w:rsidR="00225011" w:rsidRPr="00CC0061">
        <w:rPr>
          <w:rFonts w:ascii="Times New Roman" w:eastAsia="Times New Roman" w:hAnsi="Times New Roman" w:cs="Times New Roman"/>
          <w:sz w:val="28"/>
          <w:szCs w:val="28"/>
          <w:lang w:val="en-US"/>
        </w:rPr>
        <w:t xml:space="preserve">rủi ro </w:t>
      </w:r>
      <w:r w:rsidRPr="00CC0061">
        <w:rPr>
          <w:rFonts w:ascii="Times New Roman" w:eastAsia="Times New Roman" w:hAnsi="Times New Roman" w:cs="Times New Roman"/>
          <w:sz w:val="28"/>
          <w:szCs w:val="28"/>
        </w:rPr>
        <w:t>theo quy định;</w:t>
      </w:r>
    </w:p>
    <w:p w14:paraId="543B6C6C"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c) Có quy định cụ thể về việc phân loại nợ, cam kết ngoại bảng, mức trích, phương pháp trích lập dự phòng rủi ro và</w:t>
      </w:r>
      <w:r w:rsidR="002A3820" w:rsidRPr="00CC0061">
        <w:rPr>
          <w:rFonts w:ascii="Times New Roman" w:eastAsia="Times New Roman" w:hAnsi="Times New Roman" w:cs="Times New Roman"/>
          <w:sz w:val="28"/>
          <w:szCs w:val="28"/>
        </w:rPr>
        <w:t xml:space="preserve"> việc sử dụng dự phòng </w:t>
      </w:r>
      <w:r w:rsidRPr="00CC0061">
        <w:rPr>
          <w:rFonts w:ascii="Times New Roman" w:eastAsia="Times New Roman" w:hAnsi="Times New Roman" w:cs="Times New Roman"/>
          <w:sz w:val="28"/>
          <w:szCs w:val="28"/>
        </w:rPr>
        <w:t>rủi ro trong hoạt động đối với từng đối tượng khách hàng theo định kỳ, đột xuất;</w:t>
      </w:r>
    </w:p>
    <w:p w14:paraId="06BB3E8F"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xml:space="preserve">d) Có quy định quyền hạn, trách nhiệm của các đơn vị, cá nhân trong việc phân loại nợ, cam kết ngoại bảng, trích </w:t>
      </w:r>
      <w:r w:rsidR="002A3820" w:rsidRPr="00CC0061">
        <w:rPr>
          <w:rFonts w:ascii="Times New Roman" w:eastAsia="Times New Roman" w:hAnsi="Times New Roman" w:cs="Times New Roman"/>
          <w:sz w:val="28"/>
          <w:szCs w:val="28"/>
        </w:rPr>
        <w:t>lập và sử dụng dự phòng</w:t>
      </w:r>
      <w:r w:rsidRPr="00CC0061">
        <w:rPr>
          <w:rFonts w:ascii="Times New Roman" w:eastAsia="Times New Roman" w:hAnsi="Times New Roman" w:cs="Times New Roman"/>
          <w:sz w:val="28"/>
          <w:szCs w:val="28"/>
        </w:rPr>
        <w:t xml:space="preserve"> rủi ro trong hoạt động;</w:t>
      </w:r>
    </w:p>
    <w:p w14:paraId="585BA6D3"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bookmarkStart w:id="6" w:name="bookmark=id.2s8eyo1" w:colFirst="0" w:colLast="0"/>
      <w:bookmarkEnd w:id="6"/>
      <w:r w:rsidRPr="00CC0061">
        <w:rPr>
          <w:rFonts w:ascii="Times New Roman" w:eastAsia="Times New Roman" w:hAnsi="Times New Roman" w:cs="Times New Roman"/>
          <w:sz w:val="28"/>
          <w:szCs w:val="28"/>
        </w:rPr>
        <w:t xml:space="preserve">đ) Có cơ chế kiểm tra, giám sát và báo cáo các nội dung quy định </w:t>
      </w:r>
      <w:r w:rsidR="00F91FB0">
        <w:rPr>
          <w:rFonts w:ascii="Times New Roman" w:eastAsia="Times New Roman" w:hAnsi="Times New Roman" w:cs="Times New Roman"/>
          <w:sz w:val="28"/>
          <w:szCs w:val="28"/>
        </w:rPr>
        <w:t>từ điểm a đến điểm d K</w:t>
      </w:r>
      <w:r w:rsidRPr="00CC0061">
        <w:rPr>
          <w:rFonts w:ascii="Times New Roman" w:eastAsia="Times New Roman" w:hAnsi="Times New Roman" w:cs="Times New Roman"/>
          <w:sz w:val="28"/>
          <w:szCs w:val="28"/>
        </w:rPr>
        <w:t>hoản này.</w:t>
      </w:r>
    </w:p>
    <w:p w14:paraId="4F1BD34E" w14:textId="77777777" w:rsidR="00133F17" w:rsidRPr="00CC0061" w:rsidRDefault="008842DA" w:rsidP="00DF2532">
      <w:pPr>
        <w:widowControl/>
        <w:spacing w:before="120" w:after="120" w:line="240" w:lineRule="auto"/>
        <w:ind w:left="-2" w:firstLineChars="202" w:firstLine="568"/>
        <w:jc w:val="both"/>
        <w:rPr>
          <w:rFonts w:ascii="Times New Roman" w:eastAsia="Times New Roman" w:hAnsi="Times New Roman" w:cs="Times New Roman"/>
          <w:sz w:val="28"/>
          <w:szCs w:val="28"/>
        </w:rPr>
      </w:pPr>
      <w:r w:rsidRPr="00CC0061">
        <w:rPr>
          <w:rFonts w:ascii="Times New Roman" w:eastAsia="Times New Roman" w:hAnsi="Times New Roman" w:cs="Times New Roman"/>
          <w:b/>
          <w:sz w:val="28"/>
          <w:szCs w:val="28"/>
        </w:rPr>
        <w:t>Điều 7. Báo cáo về quy định nội bộ v</w:t>
      </w:r>
      <w:r w:rsidR="00F13541" w:rsidRPr="00CC0061">
        <w:rPr>
          <w:rFonts w:ascii="Times New Roman" w:eastAsia="Times New Roman" w:hAnsi="Times New Roman" w:cs="Times New Roman"/>
          <w:b/>
          <w:sz w:val="28"/>
          <w:szCs w:val="28"/>
        </w:rPr>
        <w:t xml:space="preserve">ề cấp tín dụng, quản lý </w:t>
      </w:r>
      <w:r w:rsidR="00F13541" w:rsidRPr="00CC0061">
        <w:rPr>
          <w:rFonts w:ascii="Times New Roman" w:eastAsia="Times New Roman" w:hAnsi="Times New Roman" w:cs="Times New Roman"/>
          <w:b/>
          <w:sz w:val="28"/>
          <w:szCs w:val="28"/>
          <w:lang w:val="en-US"/>
        </w:rPr>
        <w:t>nợ</w:t>
      </w:r>
      <w:r w:rsidRPr="00CC0061">
        <w:rPr>
          <w:rFonts w:ascii="Times New Roman" w:eastAsia="Times New Roman" w:hAnsi="Times New Roman" w:cs="Times New Roman"/>
          <w:b/>
          <w:sz w:val="28"/>
          <w:szCs w:val="28"/>
        </w:rPr>
        <w:t>, chính sách dự phòng rủi ro</w:t>
      </w:r>
    </w:p>
    <w:p w14:paraId="79862B54"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1. Trong thời hạn 10 (mười) ngày, kể từ ngày ban hành, sửa đổi, bổ sung quy định nội bộ v</w:t>
      </w:r>
      <w:r w:rsidR="00F13541" w:rsidRPr="00CC0061">
        <w:rPr>
          <w:rFonts w:ascii="Times New Roman" w:eastAsia="Times New Roman" w:hAnsi="Times New Roman" w:cs="Times New Roman"/>
          <w:sz w:val="28"/>
          <w:szCs w:val="28"/>
        </w:rPr>
        <w:t xml:space="preserve">ề cấp tín dụng, quản lý </w:t>
      </w:r>
      <w:r w:rsidR="00F13541" w:rsidRPr="00CC0061">
        <w:rPr>
          <w:rFonts w:ascii="Times New Roman" w:eastAsia="Times New Roman" w:hAnsi="Times New Roman" w:cs="Times New Roman"/>
          <w:sz w:val="28"/>
          <w:szCs w:val="28"/>
          <w:lang w:val="en-US"/>
        </w:rPr>
        <w:t>nợ</w:t>
      </w:r>
      <w:r w:rsidRPr="00CC0061">
        <w:rPr>
          <w:rFonts w:ascii="Times New Roman" w:eastAsia="Times New Roman" w:hAnsi="Times New Roman" w:cs="Times New Roman"/>
          <w:sz w:val="28"/>
          <w:szCs w:val="28"/>
        </w:rPr>
        <w:t xml:space="preserve">, chính sách dự phòng rủi ro, tổ chức tín dụng, chi nhánh ngân hàng nước ngoài phải gửi trực tiếp hoặc bằng đường bưu điện </w:t>
      </w:r>
      <w:r w:rsidR="00A42E2F" w:rsidRPr="00CC0061">
        <w:rPr>
          <w:rFonts w:ascii="Times New Roman" w:eastAsia="Times New Roman" w:hAnsi="Times New Roman" w:cs="Times New Roman"/>
          <w:sz w:val="28"/>
          <w:szCs w:val="28"/>
          <w:lang w:val="en-US"/>
        </w:rPr>
        <w:t xml:space="preserve">hoặc </w:t>
      </w:r>
      <w:r w:rsidR="00E6126B" w:rsidRPr="00CC0061">
        <w:rPr>
          <w:rFonts w:ascii="Times New Roman" w:eastAsia="Times New Roman" w:hAnsi="Times New Roman" w:cs="Times New Roman"/>
          <w:sz w:val="28"/>
          <w:szCs w:val="28"/>
          <w:lang w:val="en-US"/>
        </w:rPr>
        <w:t>phương tiện</w:t>
      </w:r>
      <w:r w:rsidR="00A42E2F" w:rsidRPr="00CC0061">
        <w:rPr>
          <w:rFonts w:ascii="Times New Roman" w:eastAsia="Times New Roman" w:hAnsi="Times New Roman" w:cs="Times New Roman"/>
          <w:sz w:val="28"/>
          <w:szCs w:val="28"/>
          <w:lang w:val="en-US"/>
        </w:rPr>
        <w:t xml:space="preserve"> điện tử </w:t>
      </w:r>
      <w:r w:rsidRPr="00CC0061">
        <w:rPr>
          <w:rFonts w:ascii="Times New Roman" w:eastAsia="Times New Roman" w:hAnsi="Times New Roman" w:cs="Times New Roman"/>
          <w:sz w:val="28"/>
          <w:szCs w:val="28"/>
        </w:rPr>
        <w:t>cho Ngân hàng Nhà nước theo quy định tại khoản 2 Điều này 01 bộ hồ sơ gồm các văn bản sau:</w:t>
      </w:r>
    </w:p>
    <w:p w14:paraId="2B39271C"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lastRenderedPageBreak/>
        <w:t>a) Đối với trường hợp ban hành mới:</w:t>
      </w:r>
    </w:p>
    <w:p w14:paraId="4A9E1EBC"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lang w:val="en-US"/>
        </w:rPr>
      </w:pPr>
      <w:r w:rsidRPr="00CC0061">
        <w:rPr>
          <w:rFonts w:ascii="Times New Roman" w:eastAsia="Times New Roman" w:hAnsi="Times New Roman" w:cs="Times New Roman"/>
          <w:sz w:val="28"/>
          <w:szCs w:val="28"/>
        </w:rPr>
        <w:t>(i) Văn bản báo cáo về việc ban hành quy định nội bộ v</w:t>
      </w:r>
      <w:r w:rsidR="00F13541" w:rsidRPr="00CC0061">
        <w:rPr>
          <w:rFonts w:ascii="Times New Roman" w:eastAsia="Times New Roman" w:hAnsi="Times New Roman" w:cs="Times New Roman"/>
          <w:sz w:val="28"/>
          <w:szCs w:val="28"/>
        </w:rPr>
        <w:t xml:space="preserve">ề cấp tín dụng, quản lý </w:t>
      </w:r>
      <w:r w:rsidR="00F13541" w:rsidRPr="00CC0061">
        <w:rPr>
          <w:rFonts w:ascii="Times New Roman" w:eastAsia="Times New Roman" w:hAnsi="Times New Roman" w:cs="Times New Roman"/>
          <w:sz w:val="28"/>
          <w:szCs w:val="28"/>
          <w:lang w:val="en-US"/>
        </w:rPr>
        <w:t>nợ</w:t>
      </w:r>
      <w:r w:rsidR="00016385" w:rsidRPr="00CC0061">
        <w:rPr>
          <w:rFonts w:ascii="Times New Roman" w:eastAsia="Times New Roman" w:hAnsi="Times New Roman" w:cs="Times New Roman"/>
          <w:sz w:val="28"/>
          <w:szCs w:val="28"/>
        </w:rPr>
        <w:t>, chính sách dự phòng rủi ro</w:t>
      </w:r>
      <w:r w:rsidR="00016385" w:rsidRPr="00CC0061">
        <w:rPr>
          <w:rFonts w:ascii="Times New Roman" w:eastAsia="Times New Roman" w:hAnsi="Times New Roman" w:cs="Times New Roman"/>
          <w:sz w:val="28"/>
          <w:szCs w:val="28"/>
          <w:lang w:val="en-US"/>
        </w:rPr>
        <w:t>;</w:t>
      </w:r>
    </w:p>
    <w:p w14:paraId="2F0DE9AA"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(ii) Quy định nội bộ v</w:t>
      </w:r>
      <w:r w:rsidR="00F13541" w:rsidRPr="00CC0061">
        <w:rPr>
          <w:rFonts w:ascii="Times New Roman" w:eastAsia="Times New Roman" w:hAnsi="Times New Roman" w:cs="Times New Roman"/>
          <w:sz w:val="28"/>
          <w:szCs w:val="28"/>
        </w:rPr>
        <w:t xml:space="preserve">ề cấp tín dụng, quản lý </w:t>
      </w:r>
      <w:r w:rsidR="00F13541" w:rsidRPr="00CC0061">
        <w:rPr>
          <w:rFonts w:ascii="Times New Roman" w:eastAsia="Times New Roman" w:hAnsi="Times New Roman" w:cs="Times New Roman"/>
          <w:sz w:val="28"/>
          <w:szCs w:val="28"/>
          <w:lang w:val="en-US"/>
        </w:rPr>
        <w:t>nợ</w:t>
      </w:r>
      <w:r w:rsidRPr="00CC0061">
        <w:rPr>
          <w:rFonts w:ascii="Times New Roman" w:eastAsia="Times New Roman" w:hAnsi="Times New Roman" w:cs="Times New Roman"/>
          <w:sz w:val="28"/>
          <w:szCs w:val="28"/>
        </w:rPr>
        <w:t>, chính sách dự phòng rủi ro.</w:t>
      </w:r>
    </w:p>
    <w:p w14:paraId="43C9F0A8"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b) Đối với trường hợp sửa đổi, bổ sung:</w:t>
      </w:r>
    </w:p>
    <w:p w14:paraId="352224F7"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lang w:val="en-US"/>
        </w:rPr>
      </w:pPr>
      <w:r w:rsidRPr="00CC0061">
        <w:rPr>
          <w:rFonts w:ascii="Times New Roman" w:eastAsia="Times New Roman" w:hAnsi="Times New Roman" w:cs="Times New Roman"/>
          <w:sz w:val="28"/>
          <w:szCs w:val="28"/>
        </w:rPr>
        <w:t>(i) Văn bản báo cáo về việc sửa đổi, bổ sung quy định nội bộ v</w:t>
      </w:r>
      <w:r w:rsidR="00F13541" w:rsidRPr="00CC0061">
        <w:rPr>
          <w:rFonts w:ascii="Times New Roman" w:eastAsia="Times New Roman" w:hAnsi="Times New Roman" w:cs="Times New Roman"/>
          <w:sz w:val="28"/>
          <w:szCs w:val="28"/>
        </w:rPr>
        <w:t xml:space="preserve">ề cấp tín dụng, quản lý </w:t>
      </w:r>
      <w:r w:rsidR="00F13541" w:rsidRPr="00CC0061">
        <w:rPr>
          <w:rFonts w:ascii="Times New Roman" w:eastAsia="Times New Roman" w:hAnsi="Times New Roman" w:cs="Times New Roman"/>
          <w:sz w:val="28"/>
          <w:szCs w:val="28"/>
          <w:lang w:val="en-US"/>
        </w:rPr>
        <w:t>nợ</w:t>
      </w:r>
      <w:r w:rsidRPr="00CC0061">
        <w:rPr>
          <w:rFonts w:ascii="Times New Roman" w:eastAsia="Times New Roman" w:hAnsi="Times New Roman" w:cs="Times New Roman"/>
          <w:sz w:val="28"/>
          <w:szCs w:val="28"/>
        </w:rPr>
        <w:t xml:space="preserve">, chính sách dự phòng rủi ro, trong đó báo cáo rõ lý do sửa đổi, bổ </w:t>
      </w:r>
      <w:r w:rsidR="00016385" w:rsidRPr="00CC0061">
        <w:rPr>
          <w:rFonts w:ascii="Times New Roman" w:eastAsia="Times New Roman" w:hAnsi="Times New Roman" w:cs="Times New Roman"/>
          <w:sz w:val="28"/>
          <w:szCs w:val="28"/>
        </w:rPr>
        <w:t>sung</w:t>
      </w:r>
      <w:r w:rsidR="00016385" w:rsidRPr="00CC0061">
        <w:rPr>
          <w:rFonts w:ascii="Times New Roman" w:eastAsia="Times New Roman" w:hAnsi="Times New Roman" w:cs="Times New Roman"/>
          <w:sz w:val="28"/>
          <w:szCs w:val="28"/>
          <w:lang w:val="en-US"/>
        </w:rPr>
        <w:t>;</w:t>
      </w:r>
    </w:p>
    <w:p w14:paraId="79F0D997"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(ii) Các văn bản sửa đổi, bổ sung quy định nội bộ v</w:t>
      </w:r>
      <w:r w:rsidR="00F13541" w:rsidRPr="00CC0061">
        <w:rPr>
          <w:rFonts w:ascii="Times New Roman" w:eastAsia="Times New Roman" w:hAnsi="Times New Roman" w:cs="Times New Roman"/>
          <w:sz w:val="28"/>
          <w:szCs w:val="28"/>
        </w:rPr>
        <w:t xml:space="preserve">ề cấp tín dụng, quản lý </w:t>
      </w:r>
      <w:r w:rsidR="00F13541" w:rsidRPr="00CC0061">
        <w:rPr>
          <w:rFonts w:ascii="Times New Roman" w:eastAsia="Times New Roman" w:hAnsi="Times New Roman" w:cs="Times New Roman"/>
          <w:sz w:val="28"/>
          <w:szCs w:val="28"/>
          <w:lang w:val="en-US"/>
        </w:rPr>
        <w:t>nợ</w:t>
      </w:r>
      <w:r w:rsidRPr="00CC0061">
        <w:rPr>
          <w:rFonts w:ascii="Times New Roman" w:eastAsia="Times New Roman" w:hAnsi="Times New Roman" w:cs="Times New Roman"/>
          <w:sz w:val="28"/>
          <w:szCs w:val="28"/>
        </w:rPr>
        <w:t>, chính sách dự phòng rủi ro.</w:t>
      </w:r>
    </w:p>
    <w:p w14:paraId="27D86919"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2. Tổ chức tín dụng, chi nhánh ngân hàng nước ngoài gửi báo cáo cho Ngân hàng Nhà nước theo quy định tại khoản 1 Điều này như sau:</w:t>
      </w:r>
    </w:p>
    <w:p w14:paraId="3444A5A5"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xml:space="preserve">a) Tổ chức tín dụng, chi nhánh ngân hàng nước ngoài gửi báo cáo cho Ngân hàng Nhà nước (Cơ quan Thanh tra, giám sát ngân hàng), trừ trường hợp quy định tại điểm b </w:t>
      </w:r>
      <w:r w:rsidR="00F91FB0">
        <w:rPr>
          <w:rFonts w:ascii="Times New Roman" w:eastAsia="Times New Roman" w:hAnsi="Times New Roman" w:cs="Times New Roman"/>
          <w:sz w:val="28"/>
          <w:szCs w:val="28"/>
          <w:lang w:val="en-US"/>
        </w:rPr>
        <w:t>K</w:t>
      </w:r>
      <w:r w:rsidRPr="00CC0061">
        <w:rPr>
          <w:rFonts w:ascii="Times New Roman" w:eastAsia="Times New Roman" w:hAnsi="Times New Roman" w:cs="Times New Roman"/>
          <w:sz w:val="28"/>
          <w:szCs w:val="28"/>
        </w:rPr>
        <w:t>hoản này;</w:t>
      </w:r>
    </w:p>
    <w:p w14:paraId="4893824F"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b) Chi nhánh ngân hàng nước ngoài thuộc đối tượng thanh tra, giám sát an toàn vi mô của Ngân hàng Nhà nước chi nhánh tỉnh, thành phố trực thuộc Trung ương gửi báo cáo cho Ngân hàng Nhà nước chi nhánh tỉnh, thành phố trực thuộc Trung ương đó.</w:t>
      </w:r>
    </w:p>
    <w:p w14:paraId="5DFAE298" w14:textId="77777777" w:rsidR="00133F17" w:rsidRPr="00CC0061" w:rsidRDefault="008842DA" w:rsidP="00DF2532">
      <w:pPr>
        <w:widowControl/>
        <w:spacing w:before="120" w:after="120" w:line="240" w:lineRule="auto"/>
        <w:ind w:left="-2" w:firstLineChars="202" w:firstLine="568"/>
        <w:jc w:val="both"/>
        <w:rPr>
          <w:rFonts w:ascii="Times New Roman" w:eastAsia="Times New Roman" w:hAnsi="Times New Roman" w:cs="Times New Roman"/>
          <w:b/>
          <w:sz w:val="28"/>
          <w:szCs w:val="28"/>
          <w:lang w:val="en-US"/>
        </w:rPr>
      </w:pPr>
      <w:r w:rsidRPr="00CC0061">
        <w:rPr>
          <w:rFonts w:ascii="Times New Roman" w:eastAsia="Times New Roman" w:hAnsi="Times New Roman" w:cs="Times New Roman"/>
          <w:b/>
          <w:sz w:val="28"/>
          <w:szCs w:val="28"/>
        </w:rPr>
        <w:t>Điều 8. Thời điểm, trình tự phân loại, trích lập dự phòng rủi ro</w:t>
      </w:r>
    </w:p>
    <w:p w14:paraId="7CD3CF83"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1. Ít nhất mỗi tháng một lần, trong 07 (bảy) ngày đầu tiên của tháng, tổ chức tín dụng, chi nhánh ngân hàng nước ngoài că</w:t>
      </w:r>
      <w:r w:rsidR="00B7702B">
        <w:rPr>
          <w:rFonts w:ascii="Times New Roman" w:eastAsia="Times New Roman" w:hAnsi="Times New Roman" w:cs="Times New Roman"/>
          <w:sz w:val="28"/>
          <w:szCs w:val="28"/>
        </w:rPr>
        <w:t>n cứ quy định tại</w:t>
      </w:r>
      <w:r w:rsidR="00417509">
        <w:rPr>
          <w:rFonts w:ascii="Times New Roman" w:eastAsia="Times New Roman" w:hAnsi="Times New Roman" w:cs="Times New Roman"/>
          <w:sz w:val="28"/>
          <w:szCs w:val="28"/>
          <w:lang w:val="en-US"/>
        </w:rPr>
        <w:t xml:space="preserve"> khoản 5 Điều 1,</w:t>
      </w:r>
      <w:r w:rsidRPr="00CC0061">
        <w:rPr>
          <w:rFonts w:ascii="Times New Roman" w:eastAsia="Times New Roman" w:hAnsi="Times New Roman" w:cs="Times New Roman"/>
          <w:sz w:val="28"/>
          <w:szCs w:val="28"/>
        </w:rPr>
        <w:t xml:space="preserve"> Điều 9, Điều 10, Điều 11, Điều 12, Điều 13 Thông tư này tự thực hiện phân loại nợ, cam kết ngoại bảng đến thời điểm cuối ngày cuối cùng của tháng trước liền kề, trích lập dự phòng rủi ro theo kết quả tự phân loại nợ, cam kết ngoại bảng và gửi kết quả tự phân loại nợ, cam kết ngoại bảng cho CIC.</w:t>
      </w:r>
    </w:p>
    <w:p w14:paraId="64CCBCD0"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Ngoài thời điểm phân loại nêu trên, tổ chức tín dụng, chi nhánh ngân hàng nước ngoài được tự thực hiện phân loại nợ, cam kết ngoại bảng theo quy định nội bộ.</w:t>
      </w:r>
    </w:p>
    <w:p w14:paraId="1D746AE1"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xml:space="preserve">2. Trong thời hạn 03 (ba) ngày kể từ ngày nhận được kết quả tự phân loại nợ, cam kết ngoại bảng của tổ chức tín dụng, chi </w:t>
      </w:r>
      <w:r w:rsidR="00F31DAD" w:rsidRPr="00CC0061">
        <w:rPr>
          <w:rFonts w:ascii="Times New Roman" w:eastAsia="Times New Roman" w:hAnsi="Times New Roman" w:cs="Times New Roman"/>
          <w:sz w:val="28"/>
          <w:szCs w:val="28"/>
        </w:rPr>
        <w:t xml:space="preserve">nhánh ngân hàng nước ngoài </w:t>
      </w:r>
      <w:r w:rsidRPr="00CC0061">
        <w:rPr>
          <w:rFonts w:ascii="Times New Roman" w:eastAsia="Times New Roman" w:hAnsi="Times New Roman" w:cs="Times New Roman"/>
          <w:sz w:val="28"/>
          <w:szCs w:val="28"/>
        </w:rPr>
        <w:t>quy định tại khoản 1 Điều này, CIC tổng hợp danh sách khách hàng theo nhóm nợ có mức độ rủi ro cao nhất mà các tổ chức tín dụng, chi nhánh ngân hàng nước ngoài đã tự phân loại và cung cấp cho tổ chức tín dụng, chi nhánh ngân hàng nước ngoài.</w:t>
      </w:r>
    </w:p>
    <w:p w14:paraId="1635021F"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xml:space="preserve">3. Trong thời </w:t>
      </w:r>
      <w:r w:rsidR="00F31DAD" w:rsidRPr="00CC0061">
        <w:rPr>
          <w:rFonts w:ascii="Times New Roman" w:eastAsia="Times New Roman" w:hAnsi="Times New Roman" w:cs="Times New Roman"/>
          <w:sz w:val="28"/>
          <w:szCs w:val="28"/>
          <w:lang w:val="en-US"/>
        </w:rPr>
        <w:t>hạn</w:t>
      </w:r>
      <w:r w:rsidRPr="00CC0061">
        <w:rPr>
          <w:rFonts w:ascii="Times New Roman" w:eastAsia="Times New Roman" w:hAnsi="Times New Roman" w:cs="Times New Roman"/>
          <w:sz w:val="28"/>
          <w:szCs w:val="28"/>
        </w:rPr>
        <w:t xml:space="preserve"> 03 (ba) ngày kể từ ngày nhận được danh sách khách hàng do CIC cung cấp theo quy định tại khoản 2 Điều này, tổ chức tín dụng, chi nhánh ngân hàng nước ngoài:</w:t>
      </w:r>
    </w:p>
    <w:p w14:paraId="0A9F2493"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lang w:val="en-US"/>
        </w:rPr>
      </w:pPr>
      <w:r w:rsidRPr="00CC0061">
        <w:rPr>
          <w:rFonts w:ascii="Times New Roman" w:eastAsia="Times New Roman" w:hAnsi="Times New Roman" w:cs="Times New Roman"/>
          <w:sz w:val="28"/>
          <w:szCs w:val="28"/>
        </w:rPr>
        <w:t>a) Điều chỉnh nhóm nợ theo nhóm nợ của danh sách khách hàng do CIC cung cấp</w:t>
      </w:r>
      <w:r w:rsidR="00F31DAD" w:rsidRPr="00CC0061">
        <w:rPr>
          <w:rFonts w:ascii="Times New Roman" w:eastAsia="Times New Roman" w:hAnsi="Times New Roman" w:cs="Times New Roman"/>
          <w:sz w:val="28"/>
          <w:szCs w:val="28"/>
          <w:lang w:val="en-US"/>
        </w:rPr>
        <w:t>.</w:t>
      </w:r>
    </w:p>
    <w:p w14:paraId="164ACF8E"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lang w:val="en-US"/>
        </w:rPr>
      </w:pPr>
      <w:r w:rsidRPr="00CC0061">
        <w:rPr>
          <w:rFonts w:ascii="Times New Roman" w:eastAsia="Times New Roman" w:hAnsi="Times New Roman" w:cs="Times New Roman"/>
          <w:sz w:val="28"/>
          <w:szCs w:val="28"/>
        </w:rPr>
        <w:lastRenderedPageBreak/>
        <w:t>Trường hợp kết quả tự phân loại nợ, cam kết ngoại bảng của khách hàng theo quy định tại khoản 1 Điều này thấp hơn nhóm nợ theo danh sách khách hàng do CIC cung cấp, tổ chức tín dụng, chi nhánh ngân hàng nước ngoài phải điều chỉnh kết quả phân loại nợ, cam kết ngoại bảng theo nhóm nợ của khách hàng do CIC cung cấp</w:t>
      </w:r>
      <w:r w:rsidR="00F31DAD" w:rsidRPr="00CC0061">
        <w:rPr>
          <w:rFonts w:ascii="Times New Roman" w:eastAsia="Times New Roman" w:hAnsi="Times New Roman" w:cs="Times New Roman"/>
          <w:sz w:val="28"/>
          <w:szCs w:val="28"/>
          <w:lang w:val="en-US"/>
        </w:rPr>
        <w:t>;</w:t>
      </w:r>
    </w:p>
    <w:p w14:paraId="4F093E3F"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b) Căn cứ kết quả</w:t>
      </w:r>
      <w:r w:rsidR="00F91FB0">
        <w:rPr>
          <w:rFonts w:ascii="Times New Roman" w:eastAsia="Times New Roman" w:hAnsi="Times New Roman" w:cs="Times New Roman"/>
          <w:sz w:val="28"/>
          <w:szCs w:val="28"/>
        </w:rPr>
        <w:t xml:space="preserve"> điều chỉnh nhóm nợ tại điểm a K</w:t>
      </w:r>
      <w:r w:rsidRPr="00CC0061">
        <w:rPr>
          <w:rFonts w:ascii="Times New Roman" w:eastAsia="Times New Roman" w:hAnsi="Times New Roman" w:cs="Times New Roman"/>
          <w:sz w:val="28"/>
          <w:szCs w:val="28"/>
        </w:rPr>
        <w:t>hoản này để điều chỉnh số tiền trích lập dự phòng rủi ro của tháng cuối cùng của quý.</w:t>
      </w:r>
    </w:p>
    <w:p w14:paraId="30A5D18D"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xml:space="preserve">4. Căn cứ kết quả thanh tra, giám sát và thông tin tín dụng có liên quan, Ngân hàng Nhà nước </w:t>
      </w:r>
      <w:r w:rsidR="00D90261" w:rsidRPr="00CC0061">
        <w:rPr>
          <w:rFonts w:ascii="Times New Roman" w:eastAsia="Times New Roman" w:hAnsi="Times New Roman" w:cs="Times New Roman"/>
          <w:sz w:val="28"/>
          <w:szCs w:val="28"/>
          <w:lang w:val="en-US"/>
        </w:rPr>
        <w:t xml:space="preserve">có quyền </w:t>
      </w:r>
      <w:r w:rsidRPr="00CC0061">
        <w:rPr>
          <w:rFonts w:ascii="Times New Roman" w:eastAsia="Times New Roman" w:hAnsi="Times New Roman" w:cs="Times New Roman"/>
          <w:sz w:val="28"/>
          <w:szCs w:val="28"/>
        </w:rPr>
        <w:t>yêu cầu tổ chức tín dụng, chi nhánh ngân hàng nước ngoài thực hiện việc đánh giá, phân loại lại các khoản nợ cụ thể và trích lập dự phòng đầy đủ, phù hợp với mức độ rủi ro của các khoản nợ đó.</w:t>
      </w:r>
    </w:p>
    <w:p w14:paraId="6464DFD1" w14:textId="77777777" w:rsidR="00133F17" w:rsidRPr="00CC0061" w:rsidRDefault="008842DA" w:rsidP="005449B2">
      <w:pPr>
        <w:widowControl/>
        <w:spacing w:before="120" w:after="120" w:line="240" w:lineRule="auto"/>
        <w:ind w:left="-2" w:firstLineChars="0" w:firstLine="2"/>
        <w:jc w:val="center"/>
        <w:rPr>
          <w:rFonts w:ascii="Times New Roman" w:eastAsia="Times New Roman" w:hAnsi="Times New Roman" w:cs="Times New Roman"/>
          <w:sz w:val="28"/>
          <w:szCs w:val="28"/>
        </w:rPr>
      </w:pPr>
      <w:r w:rsidRPr="00CC0061">
        <w:rPr>
          <w:rFonts w:ascii="Times New Roman" w:eastAsia="Times New Roman" w:hAnsi="Times New Roman" w:cs="Times New Roman"/>
          <w:b/>
          <w:sz w:val="28"/>
          <w:szCs w:val="28"/>
        </w:rPr>
        <w:t>Chương II</w:t>
      </w:r>
      <w:bookmarkStart w:id="7" w:name="bookmark=id.3rdcrjn" w:colFirst="0" w:colLast="0"/>
      <w:bookmarkEnd w:id="7"/>
    </w:p>
    <w:p w14:paraId="0CEB4DB7" w14:textId="77777777" w:rsidR="00133F17" w:rsidRPr="00CC0061" w:rsidRDefault="008842DA" w:rsidP="005449B2">
      <w:pPr>
        <w:widowControl/>
        <w:spacing w:before="120" w:after="120" w:line="240" w:lineRule="auto"/>
        <w:ind w:left="-2" w:firstLineChars="0" w:firstLine="2"/>
        <w:jc w:val="center"/>
        <w:rPr>
          <w:rFonts w:ascii="Times New Roman" w:eastAsia="Times New Roman" w:hAnsi="Times New Roman" w:cs="Times New Roman"/>
          <w:sz w:val="28"/>
          <w:szCs w:val="28"/>
        </w:rPr>
      </w:pPr>
      <w:r w:rsidRPr="00CC0061">
        <w:rPr>
          <w:rFonts w:ascii="Times New Roman" w:eastAsia="Times New Roman" w:hAnsi="Times New Roman" w:cs="Times New Roman"/>
          <w:b/>
          <w:sz w:val="28"/>
          <w:szCs w:val="28"/>
        </w:rPr>
        <w:t>QUY ĐỊNH CỤ THỂ</w:t>
      </w:r>
      <w:bookmarkStart w:id="8" w:name="bookmark=id.26in1rg" w:colFirst="0" w:colLast="0"/>
      <w:bookmarkEnd w:id="8"/>
    </w:p>
    <w:p w14:paraId="3A111177" w14:textId="77777777" w:rsidR="00133F17" w:rsidRPr="00CC0061" w:rsidRDefault="008842DA" w:rsidP="005449B2">
      <w:pPr>
        <w:widowControl/>
        <w:spacing w:before="120" w:after="120" w:line="240" w:lineRule="auto"/>
        <w:ind w:left="-2" w:firstLineChars="0" w:firstLine="2"/>
        <w:jc w:val="center"/>
        <w:rPr>
          <w:rFonts w:ascii="Times New Roman" w:eastAsia="Times New Roman" w:hAnsi="Times New Roman" w:cs="Times New Roman"/>
          <w:sz w:val="28"/>
          <w:szCs w:val="28"/>
        </w:rPr>
      </w:pPr>
      <w:r w:rsidRPr="00CC0061">
        <w:rPr>
          <w:rFonts w:ascii="Times New Roman" w:eastAsia="Times New Roman" w:hAnsi="Times New Roman" w:cs="Times New Roman"/>
          <w:b/>
          <w:sz w:val="28"/>
          <w:szCs w:val="28"/>
        </w:rPr>
        <w:t xml:space="preserve">Mục 1 </w:t>
      </w:r>
    </w:p>
    <w:p w14:paraId="3BD7CD9C" w14:textId="77777777" w:rsidR="00133F17" w:rsidRPr="00CC0061" w:rsidRDefault="008842DA" w:rsidP="005449B2">
      <w:pPr>
        <w:widowControl/>
        <w:spacing w:before="120" w:after="120" w:line="240" w:lineRule="auto"/>
        <w:ind w:left="-2" w:firstLineChars="0" w:firstLine="2"/>
        <w:jc w:val="center"/>
        <w:rPr>
          <w:rFonts w:ascii="Times New Roman" w:eastAsia="Times New Roman" w:hAnsi="Times New Roman" w:cs="Times New Roman"/>
          <w:b/>
          <w:sz w:val="28"/>
          <w:szCs w:val="28"/>
        </w:rPr>
      </w:pPr>
      <w:r w:rsidRPr="00CC0061">
        <w:rPr>
          <w:rFonts w:ascii="Times New Roman" w:eastAsia="Times New Roman" w:hAnsi="Times New Roman" w:cs="Times New Roman"/>
          <w:b/>
          <w:sz w:val="28"/>
          <w:szCs w:val="28"/>
        </w:rPr>
        <w:t>PHÂN LOẠI NỢ VÀ CAM KẾT NGOẠI BẢNG</w:t>
      </w:r>
      <w:bookmarkStart w:id="9" w:name="bookmark=id.lnxbz9" w:colFirst="0" w:colLast="0"/>
      <w:bookmarkEnd w:id="9"/>
    </w:p>
    <w:p w14:paraId="60F7A92B" w14:textId="77777777" w:rsidR="00133F17" w:rsidRPr="00CC0061" w:rsidRDefault="008842DA" w:rsidP="00DF2532">
      <w:pPr>
        <w:widowControl/>
        <w:spacing w:before="120" w:after="120" w:line="240" w:lineRule="auto"/>
        <w:ind w:left="-2" w:firstLineChars="202" w:firstLine="568"/>
        <w:jc w:val="both"/>
        <w:rPr>
          <w:rFonts w:ascii="Times New Roman" w:eastAsia="Times New Roman" w:hAnsi="Times New Roman" w:cs="Times New Roman"/>
          <w:b/>
          <w:sz w:val="28"/>
          <w:szCs w:val="28"/>
        </w:rPr>
      </w:pPr>
      <w:r w:rsidRPr="00CC0061">
        <w:rPr>
          <w:rFonts w:ascii="Times New Roman" w:eastAsia="Times New Roman" w:hAnsi="Times New Roman" w:cs="Times New Roman"/>
          <w:b/>
          <w:sz w:val="28"/>
          <w:szCs w:val="28"/>
        </w:rPr>
        <w:t>Điều 9. Nguyên tắc tự phân loại</w:t>
      </w:r>
    </w:p>
    <w:p w14:paraId="1821CC1D"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xml:space="preserve">1. Toàn bộ dư nợ và </w:t>
      </w:r>
      <w:r w:rsidR="00F31DAD" w:rsidRPr="00CC0061">
        <w:rPr>
          <w:rFonts w:ascii="Times New Roman" w:eastAsia="Times New Roman" w:hAnsi="Times New Roman" w:cs="Times New Roman"/>
          <w:sz w:val="28"/>
          <w:szCs w:val="28"/>
          <w:lang w:val="en-US"/>
        </w:rPr>
        <w:t>số dư</w:t>
      </w:r>
      <w:r w:rsidRPr="00CC0061">
        <w:rPr>
          <w:rFonts w:ascii="Times New Roman" w:eastAsia="Times New Roman" w:hAnsi="Times New Roman" w:cs="Times New Roman"/>
          <w:sz w:val="28"/>
          <w:szCs w:val="28"/>
        </w:rPr>
        <w:t xml:space="preserve"> cam kết ngoại bảng của một khách hàng tại một tổ chức tín dụng, chi nhánh ngân hàng nước ngoài phải được phân loại vào cùng một nhóm nợ. Đối với khách hàng có từ hai khoản nợ và/hoặc cam kết ngoại bảng trở lên tại tổ chức tín dụng, chi nhánh ngân hàng nước ngoài mà có bất cứ một khoản nợ hoặc cam kết ngoại bảng nào bị phân loại vào nhóm có mức độ rủi ro cao hơn các khoản nợ hoặc cam kết ngoại bảng khác thì tổ chức tín dụng, chi nhánh ngân hàng nước ngoài đó phải phân loại lại các khoản nợ và/hoặc cam kết ngoại bảng còn lại của khách hàng vào nhóm có mức độ rủi ro cao nhất.</w:t>
      </w:r>
    </w:p>
    <w:p w14:paraId="63A020D1"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xml:space="preserve">2. Đối với khoản cấp tín dụng hợp vốn, từng tổ chức tín dụng, chi nhánh ngân hàng nước ngoài tham gia cấp tín dụng hợp vốn có trách nhiệm thông báo cho tổ chức tín dụng, chi nhánh ngân hàng nước ngoài là thành viên tham gia cấp tín dụng hợp vốn về kết quả tự phân loại nợ theo quy định tại khoản 1 Điều 8 Thông tư này. </w:t>
      </w:r>
    </w:p>
    <w:p w14:paraId="1117D92E"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xml:space="preserve">3. </w:t>
      </w:r>
      <w:bookmarkStart w:id="10" w:name="bookmark=id.35nkun2" w:colFirst="0" w:colLast="0"/>
      <w:bookmarkEnd w:id="10"/>
      <w:r w:rsidR="007A2650" w:rsidRPr="00CC0061">
        <w:rPr>
          <w:rFonts w:ascii="Times New Roman" w:eastAsia="Times New Roman" w:hAnsi="Times New Roman" w:cs="Times New Roman"/>
          <w:sz w:val="28"/>
          <w:szCs w:val="28"/>
        </w:rPr>
        <w:t>Đối với khoản ủy thác cấp tín dụng mà bên nhận ủy thác chưa giải ngân hết số tiền đã ủy thác theo hợp đồng ủy thác, tổ chức tín dụng, chi nhánh ngân hàng nước ngoài ủy thác phải phân loại số tiền đã ủy thác nhưng chưa giải ngân như là một khoản cho vay đối với bên nhận ủy thác. Thời gian quá hạn được xác định từ thời điểm bên nhận ủy thác không giải ngân đúng theo thời hạn giải ngân quy định tại hợp đồng ủy thác.</w:t>
      </w:r>
    </w:p>
    <w:p w14:paraId="5AF378B9"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lang w:val="en-US"/>
        </w:rPr>
      </w:pPr>
      <w:r w:rsidRPr="00CC0061">
        <w:rPr>
          <w:rFonts w:ascii="Times New Roman" w:eastAsia="Times New Roman" w:hAnsi="Times New Roman" w:cs="Times New Roman"/>
          <w:sz w:val="28"/>
          <w:szCs w:val="28"/>
        </w:rPr>
        <w:t>4. Đối với khoản nợ đ</w:t>
      </w:r>
      <w:r w:rsidR="00DB0AB6" w:rsidRPr="00CC0061">
        <w:rPr>
          <w:rFonts w:ascii="Times New Roman" w:eastAsia="Times New Roman" w:hAnsi="Times New Roman" w:cs="Times New Roman"/>
          <w:sz w:val="28"/>
          <w:szCs w:val="28"/>
          <w:lang w:val="en-US"/>
        </w:rPr>
        <w:t>ã</w:t>
      </w:r>
      <w:r w:rsidRPr="00CC0061">
        <w:rPr>
          <w:rFonts w:ascii="Times New Roman" w:eastAsia="Times New Roman" w:hAnsi="Times New Roman" w:cs="Times New Roman"/>
          <w:sz w:val="28"/>
          <w:szCs w:val="28"/>
        </w:rPr>
        <w:t xml:space="preserve"> bán (trừ khoản nợ đã được sử dụng dự phòng để xử lý rủi ro) nhưng chưa thu được đầy đủ tiền bán nợ thì tổ chức tín dụng, chi nhánh ngân hàng nước ngoài bán nợ </w:t>
      </w:r>
      <w:r w:rsidR="002435F6" w:rsidRPr="00CC0061">
        <w:rPr>
          <w:rFonts w:ascii="Times New Roman" w:eastAsia="Times New Roman" w:hAnsi="Times New Roman" w:cs="Times New Roman"/>
          <w:sz w:val="28"/>
          <w:szCs w:val="28"/>
        </w:rPr>
        <w:t xml:space="preserve">phân loại số tiền </w:t>
      </w:r>
      <w:r w:rsidR="002435F6" w:rsidRPr="00CC0061">
        <w:rPr>
          <w:rFonts w:ascii="Times New Roman" w:eastAsia="Times New Roman" w:hAnsi="Times New Roman" w:cs="Times New Roman"/>
          <w:sz w:val="28"/>
          <w:szCs w:val="28"/>
          <w:lang w:val="en-US"/>
        </w:rPr>
        <w:t>chưa thu được</w:t>
      </w:r>
      <w:r w:rsidR="00E40AFE" w:rsidRPr="00CC0061">
        <w:rPr>
          <w:rFonts w:ascii="Times New Roman" w:eastAsia="Times New Roman" w:hAnsi="Times New Roman" w:cs="Times New Roman"/>
          <w:sz w:val="28"/>
          <w:szCs w:val="28"/>
          <w:lang w:val="en-US"/>
        </w:rPr>
        <w:t xml:space="preserve"> như là khoản nợ chưa bán</w:t>
      </w:r>
      <w:r w:rsidR="002066B6" w:rsidRPr="00CC0061">
        <w:rPr>
          <w:rFonts w:ascii="Times New Roman" w:eastAsia="Times New Roman" w:hAnsi="Times New Roman" w:cs="Times New Roman"/>
          <w:sz w:val="28"/>
          <w:szCs w:val="28"/>
          <w:lang w:val="en-US"/>
        </w:rPr>
        <w:t xml:space="preserve">. </w:t>
      </w:r>
    </w:p>
    <w:p w14:paraId="496B4831"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lang w:val="en-US"/>
        </w:rPr>
      </w:pPr>
      <w:r w:rsidRPr="00CC0061">
        <w:rPr>
          <w:rFonts w:ascii="Times New Roman" w:eastAsia="Times New Roman" w:hAnsi="Times New Roman" w:cs="Times New Roman"/>
          <w:sz w:val="28"/>
          <w:szCs w:val="28"/>
        </w:rPr>
        <w:lastRenderedPageBreak/>
        <w:t xml:space="preserve">5. Đối với khoản nợ đã mua, </w:t>
      </w:r>
      <w:r w:rsidR="00E40AFE" w:rsidRPr="00CC0061">
        <w:rPr>
          <w:rFonts w:ascii="Times New Roman" w:eastAsia="Times New Roman" w:hAnsi="Times New Roman" w:cs="Times New Roman"/>
          <w:sz w:val="28"/>
          <w:szCs w:val="28"/>
          <w:lang w:val="en-US"/>
        </w:rPr>
        <w:t xml:space="preserve">tại thời điểm mua nợ </w:t>
      </w:r>
      <w:r w:rsidRPr="00CC0061">
        <w:rPr>
          <w:rFonts w:ascii="Times New Roman" w:eastAsia="Times New Roman" w:hAnsi="Times New Roman" w:cs="Times New Roman"/>
          <w:sz w:val="28"/>
          <w:szCs w:val="28"/>
        </w:rPr>
        <w:t xml:space="preserve">tổ chức tín dụng, chi nhánh ngân hàng nước ngoài mua nợ </w:t>
      </w:r>
      <w:r w:rsidR="005A51F6" w:rsidRPr="00CC0061">
        <w:rPr>
          <w:rFonts w:ascii="Times New Roman" w:eastAsia="Times New Roman" w:hAnsi="Times New Roman" w:cs="Times New Roman"/>
          <w:sz w:val="28"/>
          <w:szCs w:val="28"/>
        </w:rPr>
        <w:t>phân loại số tiền mua nợ</w:t>
      </w:r>
      <w:r w:rsidR="00E40AFE" w:rsidRPr="00CC0061">
        <w:rPr>
          <w:rFonts w:ascii="Times New Roman" w:eastAsia="Times New Roman" w:hAnsi="Times New Roman" w:cs="Times New Roman"/>
          <w:sz w:val="28"/>
          <w:szCs w:val="28"/>
          <w:lang w:val="en-US"/>
        </w:rPr>
        <w:t xml:space="preserve"> </w:t>
      </w:r>
      <w:r w:rsidR="00E40AFE" w:rsidRPr="00CC0061">
        <w:rPr>
          <w:rFonts w:ascii="Times New Roman" w:eastAsia="Times New Roman" w:hAnsi="Times New Roman" w:cs="Times New Roman"/>
          <w:sz w:val="28"/>
          <w:szCs w:val="28"/>
        </w:rPr>
        <w:t>vào nhóm nợ có mức độ rủi ro không thấp hơn nhóm nợ mà khoản nợ đó đã được phân loại tại thời điểm phân loại nợ gần nhất trước khi mua</w:t>
      </w:r>
      <w:r w:rsidR="00E40AFE" w:rsidRPr="00CC0061">
        <w:rPr>
          <w:rFonts w:ascii="Times New Roman" w:eastAsia="Times New Roman" w:hAnsi="Times New Roman" w:cs="Times New Roman"/>
          <w:sz w:val="28"/>
          <w:szCs w:val="28"/>
          <w:lang w:val="en-US"/>
        </w:rPr>
        <w:t xml:space="preserve"> và tiếp tục thực hiện</w:t>
      </w:r>
      <w:r w:rsidR="006203C4" w:rsidRPr="00CC0061">
        <w:rPr>
          <w:rFonts w:ascii="Times New Roman" w:eastAsia="Times New Roman" w:hAnsi="Times New Roman" w:cs="Times New Roman"/>
          <w:sz w:val="28"/>
          <w:szCs w:val="28"/>
        </w:rPr>
        <w:t xml:space="preserve"> phân loại </w:t>
      </w:r>
      <w:r w:rsidR="00E40AFE" w:rsidRPr="00CC0061">
        <w:rPr>
          <w:rFonts w:ascii="Times New Roman" w:eastAsia="Times New Roman" w:hAnsi="Times New Roman" w:cs="Times New Roman"/>
          <w:sz w:val="28"/>
          <w:szCs w:val="28"/>
          <w:lang w:val="en-US"/>
        </w:rPr>
        <w:t>số tiền mua nợ như k</w:t>
      </w:r>
      <w:r w:rsidR="006203C4" w:rsidRPr="00CC0061">
        <w:rPr>
          <w:rFonts w:ascii="Times New Roman" w:eastAsia="Times New Roman" w:hAnsi="Times New Roman" w:cs="Times New Roman"/>
          <w:sz w:val="28"/>
          <w:szCs w:val="28"/>
          <w:lang w:val="en-US"/>
        </w:rPr>
        <w:t xml:space="preserve">hoản nợ </w:t>
      </w:r>
      <w:r w:rsidR="001D7DEA" w:rsidRPr="00CC0061">
        <w:rPr>
          <w:rFonts w:ascii="Times New Roman" w:eastAsia="Times New Roman" w:hAnsi="Times New Roman" w:cs="Times New Roman"/>
          <w:sz w:val="28"/>
          <w:szCs w:val="28"/>
          <w:lang w:val="en-US"/>
        </w:rPr>
        <w:t xml:space="preserve">tại </w:t>
      </w:r>
      <w:r w:rsidR="00395998" w:rsidRPr="00CC0061">
        <w:rPr>
          <w:rFonts w:ascii="Times New Roman" w:eastAsia="Times New Roman" w:hAnsi="Times New Roman" w:cs="Times New Roman"/>
          <w:sz w:val="28"/>
          <w:szCs w:val="28"/>
          <w:lang w:val="en-US"/>
        </w:rPr>
        <w:t xml:space="preserve">chính </w:t>
      </w:r>
      <w:r w:rsidR="00E40AFE" w:rsidRPr="00CC0061">
        <w:rPr>
          <w:rFonts w:ascii="Times New Roman" w:eastAsia="Times New Roman" w:hAnsi="Times New Roman" w:cs="Times New Roman"/>
          <w:sz w:val="28"/>
          <w:szCs w:val="28"/>
          <w:lang w:val="en-US"/>
        </w:rPr>
        <w:t>tổ chức tín dụng, chi nhánh ngân hàng nước ngoài</w:t>
      </w:r>
      <w:r w:rsidR="00045816" w:rsidRPr="00CC0061">
        <w:rPr>
          <w:rFonts w:ascii="Times New Roman" w:eastAsia="Times New Roman" w:hAnsi="Times New Roman" w:cs="Times New Roman"/>
          <w:sz w:val="28"/>
          <w:szCs w:val="28"/>
          <w:lang w:val="en-US"/>
        </w:rPr>
        <w:t>.</w:t>
      </w:r>
    </w:p>
    <w:p w14:paraId="33BD6AB9"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6. Đối với số tiền mua, ủy thác cho tổ chức khác (bao gồm cả tổ chức tín dụng, chi nhánh ngân hàng nước ngoài) mua trái phiếu doanh nghiệp chưa niêm yết, tổ chức tín dụng, chi</w:t>
      </w:r>
      <w:r w:rsidR="00F36A05">
        <w:rPr>
          <w:rFonts w:ascii="Times New Roman" w:eastAsia="Times New Roman" w:hAnsi="Times New Roman" w:cs="Times New Roman"/>
          <w:sz w:val="28"/>
          <w:szCs w:val="28"/>
        </w:rPr>
        <w:t xml:space="preserve"> nhánh ngân hàng nước ngoài</w:t>
      </w:r>
      <w:r w:rsidRPr="00CC0061">
        <w:rPr>
          <w:rFonts w:ascii="Times New Roman" w:eastAsia="Times New Roman" w:hAnsi="Times New Roman" w:cs="Times New Roman"/>
          <w:sz w:val="28"/>
          <w:szCs w:val="28"/>
        </w:rPr>
        <w:t xml:space="preserve"> phân loại số tiền mua trái phiếu như là một khoản cho vay không có bảo đảm đối với bên phát hành trái phiếu, trừ trường hợp trái phiếu doanh nghiệp được bảo đảm thanh toán bằng tài sản.</w:t>
      </w:r>
    </w:p>
    <w:p w14:paraId="04B41CC5"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7. Đối với khoản chiết khấu các công cụ chuyển nhượng và giấy tờ có giá khác:</w:t>
      </w:r>
    </w:p>
    <w:p w14:paraId="0CC051B7"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a) Dưới hình thức mua có kỳ hạn: Tổ chức tín dụng, chi nhánh ngân hàng nước ngoài phân loại khoản chiết khấu như là một khoản cho vay đối với người thụ hưởng;</w:t>
      </w:r>
    </w:p>
    <w:p w14:paraId="490B8A09"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b) Dưới hình thức mua có bảo lưu quyền truy đòi: tổ chức tín dụng, chi nhánh ngân hàng nước ngoài phân loại khoản chiết khấu như là một khoản cho vay đối với người phát hành (tr</w:t>
      </w:r>
      <w:r w:rsidR="00EA1E80">
        <w:rPr>
          <w:rFonts w:ascii="Times New Roman" w:eastAsia="Times New Roman" w:hAnsi="Times New Roman" w:cs="Times New Roman"/>
          <w:sz w:val="28"/>
          <w:szCs w:val="28"/>
        </w:rPr>
        <w:t>ừ giấy tờ có giá là trái phiếu Chính phủ, trái phiếu được C</w:t>
      </w:r>
      <w:r w:rsidRPr="00CC0061">
        <w:rPr>
          <w:rFonts w:ascii="Times New Roman" w:eastAsia="Times New Roman" w:hAnsi="Times New Roman" w:cs="Times New Roman"/>
          <w:sz w:val="28"/>
          <w:szCs w:val="28"/>
        </w:rPr>
        <w:t>hính phủ bảo lãnh, trái phiếu chính quyền địa phương). Trường hợp thực hiện quyền truy đòi, tổ chức tín dụng, chi nhánh ngân hàng nước ngoài phân loại khoản chiết khấu như là một khoản cho vay đối với người thụ hưởng.</w:t>
      </w:r>
    </w:p>
    <w:p w14:paraId="5ABB49B8"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8. Đối với các khoản nợ vi phạm pháp luật quy định tại điểm c(iv) khoản 1 Điều 10 Thông tư này, tại thời điểm phát hiện vi phạm, tổ chức tín dụng, chi nhánh ngân hàng nước ngoài phải ra ngay quyết định thu hồi</w:t>
      </w:r>
      <w:r w:rsidR="007B451B" w:rsidRPr="00CC0061">
        <w:rPr>
          <w:rFonts w:ascii="Times New Roman" w:eastAsia="Times New Roman" w:hAnsi="Times New Roman" w:cs="Times New Roman"/>
          <w:sz w:val="28"/>
          <w:szCs w:val="28"/>
          <w:lang w:val="en-US"/>
        </w:rPr>
        <w:t xml:space="preserve"> theo quy định của pháp luật</w:t>
      </w:r>
      <w:r w:rsidRPr="00CC0061">
        <w:rPr>
          <w:rFonts w:ascii="Times New Roman" w:eastAsia="Times New Roman" w:hAnsi="Times New Roman" w:cs="Times New Roman"/>
          <w:sz w:val="28"/>
          <w:szCs w:val="28"/>
        </w:rPr>
        <w:t>.</w:t>
      </w:r>
    </w:p>
    <w:p w14:paraId="5E07F880"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xml:space="preserve">Đối với các khoản nợ phải thu hồi theo kết luận thanh tra, </w:t>
      </w:r>
      <w:r w:rsidR="007B451B" w:rsidRPr="00CC0061">
        <w:rPr>
          <w:rFonts w:ascii="Times New Roman" w:eastAsia="Times New Roman" w:hAnsi="Times New Roman" w:cs="Times New Roman"/>
          <w:sz w:val="28"/>
          <w:szCs w:val="28"/>
          <w:lang w:val="en-US"/>
        </w:rPr>
        <w:t xml:space="preserve">kiểm tra, </w:t>
      </w:r>
      <w:r w:rsidRPr="00CC0061">
        <w:rPr>
          <w:rFonts w:ascii="Times New Roman" w:eastAsia="Times New Roman" w:hAnsi="Times New Roman" w:cs="Times New Roman"/>
          <w:sz w:val="28"/>
          <w:szCs w:val="28"/>
        </w:rPr>
        <w:t>tổ chức tín dụng, chi nhánh ngân hàng nước ngoài phải ra quyết định thu hồi theo kết luận thanh tra</w:t>
      </w:r>
      <w:r w:rsidR="007B451B" w:rsidRPr="00CC0061">
        <w:rPr>
          <w:rFonts w:ascii="Times New Roman" w:eastAsia="Times New Roman" w:hAnsi="Times New Roman" w:cs="Times New Roman"/>
          <w:sz w:val="28"/>
          <w:szCs w:val="28"/>
          <w:lang w:val="en-US"/>
        </w:rPr>
        <w:t>, kiểm tra</w:t>
      </w:r>
      <w:r w:rsidRPr="00CC0061">
        <w:rPr>
          <w:rFonts w:ascii="Times New Roman" w:eastAsia="Times New Roman" w:hAnsi="Times New Roman" w:cs="Times New Roman"/>
          <w:sz w:val="28"/>
          <w:szCs w:val="28"/>
        </w:rPr>
        <w:t>.</w:t>
      </w:r>
    </w:p>
    <w:p w14:paraId="72D52C7A"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Đối với các khoản nợ vi phạm pháp luật quy định tại điểm c(iv) khoản 1 Điều 10 Thông tư này, các khoản nợ phải thu hồi theo kết luận thanh tra,</w:t>
      </w:r>
      <w:r w:rsidR="007B451B" w:rsidRPr="00CC0061">
        <w:rPr>
          <w:rFonts w:ascii="Times New Roman" w:eastAsia="Times New Roman" w:hAnsi="Times New Roman" w:cs="Times New Roman"/>
          <w:sz w:val="28"/>
          <w:szCs w:val="28"/>
          <w:lang w:val="en-US"/>
        </w:rPr>
        <w:t xml:space="preserve"> kiểm tra</w:t>
      </w:r>
      <w:r w:rsidR="00F36A05">
        <w:rPr>
          <w:rFonts w:ascii="Times New Roman" w:eastAsia="Times New Roman" w:hAnsi="Times New Roman" w:cs="Times New Roman"/>
          <w:sz w:val="28"/>
          <w:szCs w:val="28"/>
          <w:lang w:val="en-US"/>
        </w:rPr>
        <w:t>,</w:t>
      </w:r>
      <w:r w:rsidRPr="00CC0061">
        <w:rPr>
          <w:rFonts w:ascii="Times New Roman" w:eastAsia="Times New Roman" w:hAnsi="Times New Roman" w:cs="Times New Roman"/>
          <w:sz w:val="28"/>
          <w:szCs w:val="28"/>
        </w:rPr>
        <w:t xml:space="preserve"> tổ chức tín dụng, chi nhánh ngân hàng nước ngoài không được cơ cấu lại thời hạn trả nợ và trong thời gian chưa thu hồi được theo quyết định thu hồi, tổ chức tín dụng</w:t>
      </w:r>
      <w:r w:rsidR="00F36A05">
        <w:rPr>
          <w:rFonts w:ascii="Times New Roman" w:eastAsia="Times New Roman" w:hAnsi="Times New Roman" w:cs="Times New Roman"/>
          <w:sz w:val="28"/>
          <w:szCs w:val="28"/>
          <w:lang w:val="en-US"/>
        </w:rPr>
        <w:t>,</w:t>
      </w:r>
      <w:r w:rsidRPr="00CC0061">
        <w:rPr>
          <w:rFonts w:ascii="Times New Roman" w:eastAsia="Times New Roman" w:hAnsi="Times New Roman" w:cs="Times New Roman"/>
          <w:sz w:val="28"/>
          <w:szCs w:val="28"/>
        </w:rPr>
        <w:t xml:space="preserve"> chi nhánh ngân hàng nước ngoài thực hiện phân loại nợ, trích lập dự phòng rủi ro theo quy định tại Thông tư này.</w:t>
      </w:r>
    </w:p>
    <w:p w14:paraId="77182653" w14:textId="77777777" w:rsidR="00133F17" w:rsidRPr="00CC0061" w:rsidRDefault="008842DA" w:rsidP="00DF2532">
      <w:pPr>
        <w:widowControl/>
        <w:spacing w:before="120" w:after="120"/>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9. Đối với khoản nợ theo hình thức bao thanh toán, tổ chức tín dụng, chi nhánh ngân hàng nước ngoài phân loại khoản bao thanh toán như là một khoản cho vay đối với bên mua hàng trong thời hạn bao thanh toán. Trường hợp thực hiện quyền truy đòi, tổ chức tín dụng, chi nhánh ngân hàng nước ngoài phân loại khoản nợ như là một khoản cho vay đối với bên bán hàng.</w:t>
      </w:r>
    </w:p>
    <w:p w14:paraId="74832E78" w14:textId="77777777" w:rsidR="00133F17" w:rsidRPr="00CC0061" w:rsidRDefault="0097415C"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lang w:val="en-US"/>
        </w:rPr>
        <w:lastRenderedPageBreak/>
        <w:t>1</w:t>
      </w:r>
      <w:r w:rsidR="008842DA" w:rsidRPr="00CC0061">
        <w:rPr>
          <w:rFonts w:ascii="Times New Roman" w:eastAsia="Times New Roman" w:hAnsi="Times New Roman" w:cs="Times New Roman"/>
          <w:sz w:val="28"/>
          <w:szCs w:val="28"/>
        </w:rPr>
        <w:t>0. Đối với các khoản cho vay, tiền gửi của tổ chức tín dụng hỗ trợ tại tổ chức tín dụng</w:t>
      </w:r>
      <w:r w:rsidR="00F13541" w:rsidRPr="00CC0061">
        <w:rPr>
          <w:rFonts w:ascii="Times New Roman" w:eastAsia="Times New Roman" w:hAnsi="Times New Roman" w:cs="Times New Roman"/>
          <w:sz w:val="28"/>
          <w:szCs w:val="28"/>
          <w:lang w:val="en-US"/>
        </w:rPr>
        <w:t xml:space="preserve"> đang</w:t>
      </w:r>
      <w:r w:rsidR="008842DA" w:rsidRPr="00CC0061">
        <w:rPr>
          <w:rFonts w:ascii="Times New Roman" w:eastAsia="Times New Roman" w:hAnsi="Times New Roman" w:cs="Times New Roman"/>
          <w:sz w:val="28"/>
          <w:szCs w:val="28"/>
        </w:rPr>
        <w:t xml:space="preserve"> được kiểm soát đặc biệt theo quy định tại khoản 9 Điều 148đ Luật Các tổ chức tín dụng (đã sửa đổi, bổ sung), tổ chức tín dụng hỗ trợ được phân loại vào nhóm nợ đủ tiêu chuẩn và không phải điều chỉnh nhóm nợ theo danh sách khách hàng do CIC cung cấp quy định tại khoản 3 Điều 8 Thông tư này (nếu có).</w:t>
      </w:r>
    </w:p>
    <w:p w14:paraId="679A9638"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11. Đối với khoản mua bán lại trái phiếu Chính phủ, tổ chức tín dụng, chi nhánh ngân hàng nước ngoài phân loại số tiền đã thanh toán để mua như là một khoản cho vay đối với bên bán trong giao dịch mua (giao dịch lần 1) theo quy định của pháp luật về đăng ký, lưu ký, niêm yết, giao dịch và thanh toán giao dịch công cụ nợ của Chính phủ, trái phiếu được Chính phủ bảo lãnh do ngân hàng chính sách phát hành và trái phiếu chính quyền địa phương.</w:t>
      </w:r>
    </w:p>
    <w:p w14:paraId="3081E073"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12. Đối với số tiền mua kỳ phiếu, tín phiếu, chứng chỉ tiền gửi do tổ chức tín dụng, chi nhánh ngân hàng nước ngoài khác phát hành, tổ chức tín dụng, chi nhánh ngân hàng nước ngoài phân loại số tiền mua như một khoản cho vay đối với tổ chức tín dụng, chi nhánh ngân hàng nước ngoài phát hành.</w:t>
      </w:r>
    </w:p>
    <w:p w14:paraId="018C6A28" w14:textId="77777777" w:rsidR="00133F17" w:rsidRPr="00CC0061" w:rsidRDefault="008842DA" w:rsidP="00DF2532">
      <w:pPr>
        <w:widowControl/>
        <w:spacing w:before="120" w:after="120" w:line="240" w:lineRule="auto"/>
        <w:ind w:left="-2" w:firstLineChars="202" w:firstLine="568"/>
        <w:jc w:val="both"/>
        <w:rPr>
          <w:rFonts w:ascii="Times New Roman" w:eastAsia="Times New Roman" w:hAnsi="Times New Roman" w:cs="Times New Roman"/>
          <w:sz w:val="28"/>
          <w:szCs w:val="28"/>
        </w:rPr>
      </w:pPr>
      <w:r w:rsidRPr="00CC0061">
        <w:rPr>
          <w:rFonts w:ascii="Times New Roman" w:eastAsia="Times New Roman" w:hAnsi="Times New Roman" w:cs="Times New Roman"/>
          <w:b/>
          <w:sz w:val="28"/>
          <w:szCs w:val="28"/>
        </w:rPr>
        <w:t>Điều 10. Phân loại nợ và cam kết ngoại bảng theo phương pháp định lượng</w:t>
      </w:r>
    </w:p>
    <w:p w14:paraId="02D133DC"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1. Tổ chức tín dụng, chi nhánh ngân hàng nước ngoài thực hiện phân loại nợ (trừ các khoản trả thay theo cam kết ngoại bảng) theo 05 nhóm như sau:</w:t>
      </w:r>
    </w:p>
    <w:p w14:paraId="2EBF42A9"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a) Nhóm 1 (Nợ đủ tiêu chuẩn) bao gồm:</w:t>
      </w:r>
    </w:p>
    <w:p w14:paraId="7A6D1429"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(i) Khoản nợ trong hạn và được đánh giá là có khả năng thu hồi đầy đủ cả nợ gốc và lãi đúng hạn;</w:t>
      </w:r>
    </w:p>
    <w:p w14:paraId="45AB5461"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(ii) Khoản nợ quá hạn dưới 10 ngày và được đánh giá là có khả năng thu hồi đầy đủ nợ gốc và lãi bị quá hạn và thu hồi đầy đủ nợ gốc và lãi còn lại đúng thời hạn;</w:t>
      </w:r>
    </w:p>
    <w:p w14:paraId="58D0E9A0"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(iii) Khoản nợ được phân loại vào nhóm 1 theo quy định tại khoản 2 Điều này.</w:t>
      </w:r>
    </w:p>
    <w:p w14:paraId="619F778A"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b) Nhóm 2 (Nợ cần chú ý) bao gồm:</w:t>
      </w:r>
    </w:p>
    <w:p w14:paraId="3DB9CFDC"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(i) Khoản nợ quá hạn đến 90 ngày, trừ kho</w:t>
      </w:r>
      <w:r w:rsidR="00F91FB0">
        <w:rPr>
          <w:rFonts w:ascii="Times New Roman" w:eastAsia="Times New Roman" w:hAnsi="Times New Roman" w:cs="Times New Roman"/>
          <w:sz w:val="28"/>
          <w:szCs w:val="28"/>
        </w:rPr>
        <w:t>ản nợ quy định tại điểm a (ii) K</w:t>
      </w:r>
      <w:r w:rsidRPr="00CC0061">
        <w:rPr>
          <w:rFonts w:ascii="Times New Roman" w:eastAsia="Times New Roman" w:hAnsi="Times New Roman" w:cs="Times New Roman"/>
          <w:sz w:val="28"/>
          <w:szCs w:val="28"/>
        </w:rPr>
        <w:t>hoản này, khoản 3 Điều này;</w:t>
      </w:r>
    </w:p>
    <w:p w14:paraId="1C6805E3"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(ii) Khoản nợ được điều chỉnh kỳ hạn trả nợ lần đầu còn trong hạn, trừ khoản nợ quy định tại điểm b khoản 2, khoản 3 Điều này;</w:t>
      </w:r>
    </w:p>
    <w:p w14:paraId="5DB69C92"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(iii) Khoản</w:t>
      </w:r>
      <w:bookmarkStart w:id="11" w:name="bookmark=id.1ksv4uv" w:colFirst="0" w:colLast="0"/>
      <w:bookmarkEnd w:id="11"/>
      <w:r w:rsidRPr="00CC0061">
        <w:rPr>
          <w:rFonts w:ascii="Times New Roman" w:eastAsia="Times New Roman" w:hAnsi="Times New Roman" w:cs="Times New Roman"/>
          <w:sz w:val="28"/>
          <w:szCs w:val="28"/>
        </w:rPr>
        <w:t xml:space="preserve"> nợ được phân loại vào nhó</w:t>
      </w:r>
      <w:r w:rsidR="001722DF">
        <w:rPr>
          <w:rFonts w:ascii="Times New Roman" w:eastAsia="Times New Roman" w:hAnsi="Times New Roman" w:cs="Times New Roman"/>
          <w:sz w:val="28"/>
          <w:szCs w:val="28"/>
        </w:rPr>
        <w:t>m 2 theo quy định tại khoản 2</w:t>
      </w:r>
      <w:r w:rsidR="001722DF">
        <w:rPr>
          <w:rFonts w:ascii="Times New Roman" w:eastAsia="Times New Roman" w:hAnsi="Times New Roman" w:cs="Times New Roman"/>
          <w:sz w:val="28"/>
          <w:szCs w:val="28"/>
          <w:lang w:val="en-US"/>
        </w:rPr>
        <w:t>,</w:t>
      </w:r>
      <w:r w:rsidRPr="00CC0061">
        <w:rPr>
          <w:rFonts w:ascii="Times New Roman" w:eastAsia="Times New Roman" w:hAnsi="Times New Roman" w:cs="Times New Roman"/>
          <w:sz w:val="28"/>
          <w:szCs w:val="28"/>
        </w:rPr>
        <w:t xml:space="preserve"> khoản 3 Điều này.</w:t>
      </w:r>
    </w:p>
    <w:p w14:paraId="41A17557"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xml:space="preserve">c) Nhóm 3 (Nợ dưới tiêu chuẩn) bao gồm: </w:t>
      </w:r>
    </w:p>
    <w:p w14:paraId="6A1F5E73"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(i) Khoản nợ quá hạn từ 91 ngày đến 180 ngày, trừ khoản nợ quy định tại khoản 3 Điều này;</w:t>
      </w:r>
    </w:p>
    <w:p w14:paraId="5077456E"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lastRenderedPageBreak/>
        <w:t xml:space="preserve">(ii) Khoản nợ gia hạn nợ lần đầu còn trong hạn, </w:t>
      </w:r>
      <w:r w:rsidR="00A817B8" w:rsidRPr="00CC0061">
        <w:rPr>
          <w:rFonts w:ascii="Times New Roman" w:eastAsia="Times New Roman" w:hAnsi="Times New Roman" w:cs="Times New Roman"/>
          <w:sz w:val="28"/>
          <w:szCs w:val="28"/>
        </w:rPr>
        <w:t xml:space="preserve">trừ khoản nợ quy định tại </w:t>
      </w:r>
      <w:r w:rsidRPr="00CC0061">
        <w:rPr>
          <w:rFonts w:ascii="Times New Roman" w:eastAsia="Times New Roman" w:hAnsi="Times New Roman" w:cs="Times New Roman"/>
          <w:sz w:val="28"/>
          <w:szCs w:val="28"/>
        </w:rPr>
        <w:t xml:space="preserve"> điểm b khoản 2, khoản 3 Điều này;</w:t>
      </w:r>
    </w:p>
    <w:p w14:paraId="0AAF7D22"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(iii) Khoản nợ được miễn hoặc giảm lãi do khách hàng không đủ khả nă</w:t>
      </w:r>
      <w:r w:rsidR="00A817B8" w:rsidRPr="00CC0061">
        <w:rPr>
          <w:rFonts w:ascii="Times New Roman" w:eastAsia="Times New Roman" w:hAnsi="Times New Roman" w:cs="Times New Roman"/>
          <w:sz w:val="28"/>
          <w:szCs w:val="28"/>
        </w:rPr>
        <w:t>ng trả lãi đầy đủ theo</w:t>
      </w:r>
      <w:r w:rsidRPr="00CC0061">
        <w:rPr>
          <w:rFonts w:ascii="Times New Roman" w:eastAsia="Times New Roman" w:hAnsi="Times New Roman" w:cs="Times New Roman"/>
          <w:sz w:val="28"/>
          <w:szCs w:val="28"/>
        </w:rPr>
        <w:t xml:space="preserve"> thỏa thuận, trừ khoản nợ quy định tại khoản 3 Điều này;</w:t>
      </w:r>
    </w:p>
    <w:p w14:paraId="0960319C"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(iv) Khoản nợ thuộc một trong các trường hợp sau đây chưa thu hồi được trong thời gian dưới 30 ngày kể từ ngày có quyết định thu hồi:</w:t>
      </w:r>
    </w:p>
    <w:p w14:paraId="4A5BE040"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Khoản nợ vi phạm quy định tại các kho</w:t>
      </w:r>
      <w:r w:rsidR="00F91FB0">
        <w:rPr>
          <w:rFonts w:ascii="Times New Roman" w:eastAsia="Times New Roman" w:hAnsi="Times New Roman" w:cs="Times New Roman"/>
          <w:sz w:val="28"/>
          <w:szCs w:val="28"/>
        </w:rPr>
        <w:t>ản 1, 3, 4, 5, 6 Điều 126 Luật C</w:t>
      </w:r>
      <w:r w:rsidRPr="00CC0061">
        <w:rPr>
          <w:rFonts w:ascii="Times New Roman" w:eastAsia="Times New Roman" w:hAnsi="Times New Roman" w:cs="Times New Roman"/>
          <w:sz w:val="28"/>
          <w:szCs w:val="28"/>
        </w:rPr>
        <w:t>ác tổ chức tín dụng (đã sửa đổi, bổ sung);</w:t>
      </w:r>
    </w:p>
    <w:p w14:paraId="41B6C207"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xml:space="preserve">- Khoản nợ vi phạm quy định tại các khoản 1, 2, 3, 4 Điều 127 Luật </w:t>
      </w:r>
      <w:r w:rsidR="00F91FB0">
        <w:rPr>
          <w:rFonts w:ascii="Times New Roman" w:eastAsia="Times New Roman" w:hAnsi="Times New Roman" w:cs="Times New Roman"/>
          <w:sz w:val="28"/>
          <w:szCs w:val="28"/>
          <w:lang w:val="en-US"/>
        </w:rPr>
        <w:t>C</w:t>
      </w:r>
      <w:r w:rsidRPr="00CC0061">
        <w:rPr>
          <w:rFonts w:ascii="Times New Roman" w:eastAsia="Times New Roman" w:hAnsi="Times New Roman" w:cs="Times New Roman"/>
          <w:sz w:val="28"/>
          <w:szCs w:val="28"/>
        </w:rPr>
        <w:t>ác tổ chức tín dụng (đã sửa đổi, bổ sung);</w:t>
      </w:r>
    </w:p>
    <w:p w14:paraId="1B3E6B06"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xml:space="preserve">- Khoản nợ vi phạm quy định tại các khoản 1, 2, 5 Điều 128 Luật </w:t>
      </w:r>
      <w:r w:rsidR="00F91FB0">
        <w:rPr>
          <w:rFonts w:ascii="Times New Roman" w:eastAsia="Times New Roman" w:hAnsi="Times New Roman" w:cs="Times New Roman"/>
          <w:sz w:val="28"/>
          <w:szCs w:val="28"/>
          <w:lang w:val="en-US"/>
        </w:rPr>
        <w:t>C</w:t>
      </w:r>
      <w:r w:rsidRPr="00CC0061">
        <w:rPr>
          <w:rFonts w:ascii="Times New Roman" w:eastAsia="Times New Roman" w:hAnsi="Times New Roman" w:cs="Times New Roman"/>
          <w:sz w:val="28"/>
          <w:szCs w:val="28"/>
        </w:rPr>
        <w:t>ác tổ chức tín dụng (đã sửa đổi, bổ sung);</w:t>
      </w:r>
    </w:p>
    <w:p w14:paraId="449C8EE9"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xml:space="preserve">(v) Khoản nợ trong thời hạn thu hồi theo kết luận </w:t>
      </w:r>
      <w:r w:rsidR="00446E15" w:rsidRPr="00CC0061">
        <w:rPr>
          <w:rFonts w:ascii="Times New Roman" w:eastAsia="Times New Roman" w:hAnsi="Times New Roman" w:cs="Times New Roman"/>
          <w:sz w:val="28"/>
          <w:szCs w:val="28"/>
        </w:rPr>
        <w:t>thanh tra</w:t>
      </w:r>
      <w:r w:rsidR="00446E15" w:rsidRPr="00CC0061">
        <w:rPr>
          <w:rFonts w:ascii="Times New Roman" w:eastAsia="Times New Roman" w:hAnsi="Times New Roman" w:cs="Times New Roman"/>
          <w:sz w:val="28"/>
          <w:szCs w:val="28"/>
          <w:lang w:val="en-US"/>
        </w:rPr>
        <w:t>, kiểm tra</w:t>
      </w:r>
      <w:r w:rsidRPr="00CC0061">
        <w:rPr>
          <w:rFonts w:ascii="Times New Roman" w:eastAsia="Times New Roman" w:hAnsi="Times New Roman" w:cs="Times New Roman"/>
          <w:sz w:val="28"/>
          <w:szCs w:val="28"/>
        </w:rPr>
        <w:t>;</w:t>
      </w:r>
    </w:p>
    <w:p w14:paraId="4523504B" w14:textId="77777777" w:rsidR="00133F17" w:rsidRPr="00CC0061" w:rsidRDefault="008842DA" w:rsidP="00DF2532">
      <w:pPr>
        <w:widowControl/>
        <w:spacing w:before="120" w:after="120"/>
        <w:ind w:left="-2" w:firstLineChars="202" w:firstLine="566"/>
        <w:jc w:val="both"/>
        <w:rPr>
          <w:rFonts w:ascii="Times New Roman" w:eastAsia="Times New Roman" w:hAnsi="Times New Roman" w:cs="Times New Roman"/>
          <w:sz w:val="28"/>
          <w:szCs w:val="28"/>
          <w:lang w:val="en-US"/>
        </w:rPr>
      </w:pPr>
      <w:r w:rsidRPr="00CC0061">
        <w:rPr>
          <w:rFonts w:ascii="Times New Roman" w:eastAsia="Times New Roman" w:hAnsi="Times New Roman" w:cs="Times New Roman"/>
          <w:sz w:val="28"/>
          <w:szCs w:val="28"/>
        </w:rPr>
        <w:t>(vi) Khoản nợ phải thu hồi theo quyết định thu hồi nợ trước hạn của tổ chức tín dụng, chi nhánh ngân hàng nước ngoài</w:t>
      </w:r>
      <w:r w:rsidR="00C553A5" w:rsidRPr="00CC0061">
        <w:rPr>
          <w:rFonts w:ascii="Times New Roman" w:eastAsia="Times New Roman" w:hAnsi="Times New Roman" w:cs="Times New Roman"/>
          <w:sz w:val="28"/>
          <w:szCs w:val="28"/>
        </w:rPr>
        <w:t xml:space="preserve"> do khách hàng vi phạm</w:t>
      </w:r>
      <w:r w:rsidRPr="00CC0061">
        <w:rPr>
          <w:rFonts w:ascii="Times New Roman" w:eastAsia="Times New Roman" w:hAnsi="Times New Roman" w:cs="Times New Roman"/>
          <w:sz w:val="28"/>
          <w:szCs w:val="28"/>
        </w:rPr>
        <w:t xml:space="preserve"> thỏa thuận với tổ chức tín dụng, chi nhánh ngân hàng nước ngoài chưa thu hồi được trong thời gian dưới 30 ngày k</w:t>
      </w:r>
      <w:r w:rsidR="00A817B8" w:rsidRPr="00CC0061">
        <w:rPr>
          <w:rFonts w:ascii="Times New Roman" w:eastAsia="Times New Roman" w:hAnsi="Times New Roman" w:cs="Times New Roman"/>
          <w:sz w:val="28"/>
          <w:szCs w:val="28"/>
        </w:rPr>
        <w:t>ể từ ngày có quyết định thu hồi</w:t>
      </w:r>
      <w:r w:rsidR="00A817B8" w:rsidRPr="00CC0061">
        <w:rPr>
          <w:rFonts w:ascii="Times New Roman" w:eastAsia="Times New Roman" w:hAnsi="Times New Roman" w:cs="Times New Roman"/>
          <w:sz w:val="28"/>
          <w:szCs w:val="28"/>
          <w:lang w:val="en-US"/>
        </w:rPr>
        <w:t>;</w:t>
      </w:r>
    </w:p>
    <w:p w14:paraId="76CC2A4E"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lang w:val="en-US"/>
        </w:rPr>
      </w:pPr>
      <w:r w:rsidRPr="00CC0061">
        <w:rPr>
          <w:rFonts w:ascii="Times New Roman" w:eastAsia="Times New Roman" w:hAnsi="Times New Roman" w:cs="Times New Roman"/>
          <w:sz w:val="28"/>
          <w:szCs w:val="28"/>
        </w:rPr>
        <w:t xml:space="preserve">(vii) Khoản nợ được phân loại vào nhóm 3 theo quy định </w:t>
      </w:r>
      <w:r w:rsidR="00A817B8" w:rsidRPr="00CC0061">
        <w:rPr>
          <w:rFonts w:ascii="Times New Roman" w:eastAsia="Times New Roman" w:hAnsi="Times New Roman" w:cs="Times New Roman"/>
          <w:sz w:val="28"/>
          <w:szCs w:val="28"/>
        </w:rPr>
        <w:t>tại khoản 2</w:t>
      </w:r>
      <w:r w:rsidR="001722DF">
        <w:rPr>
          <w:rFonts w:ascii="Times New Roman" w:eastAsia="Times New Roman" w:hAnsi="Times New Roman" w:cs="Times New Roman"/>
          <w:sz w:val="28"/>
          <w:szCs w:val="28"/>
          <w:lang w:val="en-US"/>
        </w:rPr>
        <w:t>,</w:t>
      </w:r>
      <w:r w:rsidR="00A817B8" w:rsidRPr="00CC0061">
        <w:rPr>
          <w:rFonts w:ascii="Times New Roman" w:eastAsia="Times New Roman" w:hAnsi="Times New Roman" w:cs="Times New Roman"/>
          <w:sz w:val="28"/>
          <w:szCs w:val="28"/>
        </w:rPr>
        <w:t xml:space="preserve"> khoản 3 Điều này</w:t>
      </w:r>
      <w:r w:rsidR="00A817B8" w:rsidRPr="00CC0061">
        <w:rPr>
          <w:rFonts w:ascii="Times New Roman" w:eastAsia="Times New Roman" w:hAnsi="Times New Roman" w:cs="Times New Roman"/>
          <w:sz w:val="28"/>
          <w:szCs w:val="28"/>
          <w:lang w:val="en-US"/>
        </w:rPr>
        <w:t>;</w:t>
      </w:r>
    </w:p>
    <w:p w14:paraId="117FE31B"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(viii) Khoản nợ phải phân loại vào nhóm 3 theo quy định tại khoản 4 Điều 8 Thông tư này.</w:t>
      </w:r>
    </w:p>
    <w:p w14:paraId="72384485"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xml:space="preserve">d) Nhóm 4 (Nợ nghi ngờ) bao gồm: </w:t>
      </w:r>
    </w:p>
    <w:p w14:paraId="73A9879E"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(i) Khoản nợ quá hạn từ 181 ngày đến 360 ngày, trừ khoản nợ quy định tại khoản 3 Điều này;</w:t>
      </w:r>
    </w:p>
    <w:p w14:paraId="49C4A86A"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(ii) Khoản nợ cơ cấu lại thời hạn trả nợ lần đầu quá hạn đến 90 ngày theo thời hạn trả nợ được cơ cấu lại lần đầu, trừ khoản nợ quy định tại khoản 3 Điều này;</w:t>
      </w:r>
    </w:p>
    <w:p w14:paraId="187DD9A1"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(iii)</w:t>
      </w:r>
      <w:bookmarkStart w:id="12" w:name="bookmark=id.2jxsxqh" w:colFirst="0" w:colLast="0"/>
      <w:bookmarkEnd w:id="12"/>
      <w:r w:rsidRPr="00CC0061">
        <w:rPr>
          <w:rFonts w:ascii="Times New Roman" w:eastAsia="Times New Roman" w:hAnsi="Times New Roman" w:cs="Times New Roman"/>
          <w:sz w:val="28"/>
          <w:szCs w:val="28"/>
        </w:rPr>
        <w:t xml:space="preserve"> Khoản nợ cơ cấu lại thời hạn trả nợ lần thứ hai còn trong hạn</w:t>
      </w:r>
      <w:r w:rsidR="00C553A5" w:rsidRPr="00CC0061">
        <w:rPr>
          <w:rFonts w:ascii="Times New Roman" w:eastAsia="Times New Roman" w:hAnsi="Times New Roman" w:cs="Times New Roman"/>
          <w:sz w:val="28"/>
          <w:szCs w:val="28"/>
          <w:lang w:val="en-US"/>
        </w:rPr>
        <w:t>,</w:t>
      </w:r>
      <w:r w:rsidRPr="00CC0061">
        <w:rPr>
          <w:rFonts w:ascii="Times New Roman" w:eastAsia="Times New Roman" w:hAnsi="Times New Roman" w:cs="Times New Roman"/>
          <w:sz w:val="28"/>
          <w:szCs w:val="28"/>
        </w:rPr>
        <w:t xml:space="preserve"> </w:t>
      </w:r>
      <w:r w:rsidR="00C553A5" w:rsidRPr="00CC0061">
        <w:rPr>
          <w:rFonts w:ascii="Times New Roman" w:eastAsia="Times New Roman" w:hAnsi="Times New Roman" w:cs="Times New Roman"/>
          <w:sz w:val="28"/>
          <w:szCs w:val="28"/>
        </w:rPr>
        <w:t>trừ khoản nợ quy định tại</w:t>
      </w:r>
      <w:r w:rsidRPr="00CC0061">
        <w:rPr>
          <w:rFonts w:ascii="Times New Roman" w:eastAsia="Times New Roman" w:hAnsi="Times New Roman" w:cs="Times New Roman"/>
          <w:sz w:val="28"/>
          <w:szCs w:val="28"/>
        </w:rPr>
        <w:t xml:space="preserve"> điểm b khoản 2, khoản 3 Điều này;</w:t>
      </w:r>
    </w:p>
    <w:p w14:paraId="2F12B747"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(iv) Khoản nợ quy định tại điểm c(iv) khoản 1 Điều này chưa thu hồi được trong thời gian từ 30 ngày đến 60 ngày kể từ ngày có quyết định thu hồi;</w:t>
      </w:r>
    </w:p>
    <w:p w14:paraId="7C0DE4B3"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xml:space="preserve">(v) Khoản nợ phải thu hồi theo kết luận </w:t>
      </w:r>
      <w:r w:rsidR="00446E15" w:rsidRPr="00CC0061">
        <w:rPr>
          <w:rFonts w:ascii="Times New Roman" w:eastAsia="Times New Roman" w:hAnsi="Times New Roman" w:cs="Times New Roman"/>
          <w:sz w:val="28"/>
          <w:szCs w:val="28"/>
        </w:rPr>
        <w:t>thanh tra</w:t>
      </w:r>
      <w:r w:rsidR="00446E15" w:rsidRPr="00CC0061">
        <w:rPr>
          <w:rFonts w:ascii="Times New Roman" w:eastAsia="Times New Roman" w:hAnsi="Times New Roman" w:cs="Times New Roman"/>
          <w:sz w:val="28"/>
          <w:szCs w:val="28"/>
          <w:lang w:val="en-US"/>
        </w:rPr>
        <w:t>, kiểm tra</w:t>
      </w:r>
      <w:r w:rsidR="00446E15" w:rsidRPr="00CC0061">
        <w:rPr>
          <w:rFonts w:ascii="Times New Roman" w:eastAsia="Times New Roman" w:hAnsi="Times New Roman" w:cs="Times New Roman"/>
          <w:sz w:val="28"/>
          <w:szCs w:val="28"/>
        </w:rPr>
        <w:t xml:space="preserve"> </w:t>
      </w:r>
      <w:r w:rsidRPr="00CC0061">
        <w:rPr>
          <w:rFonts w:ascii="Times New Roman" w:eastAsia="Times New Roman" w:hAnsi="Times New Roman" w:cs="Times New Roman"/>
          <w:sz w:val="28"/>
          <w:szCs w:val="28"/>
        </w:rPr>
        <w:t xml:space="preserve">nhưng quá thời hạn thu hồi theo kết luận </w:t>
      </w:r>
      <w:r w:rsidR="00446E15" w:rsidRPr="00CC0061">
        <w:rPr>
          <w:rFonts w:ascii="Times New Roman" w:eastAsia="Times New Roman" w:hAnsi="Times New Roman" w:cs="Times New Roman"/>
          <w:sz w:val="28"/>
          <w:szCs w:val="28"/>
        </w:rPr>
        <w:t>thanh tra</w:t>
      </w:r>
      <w:r w:rsidR="00446E15" w:rsidRPr="00CC0061">
        <w:rPr>
          <w:rFonts w:ascii="Times New Roman" w:eastAsia="Times New Roman" w:hAnsi="Times New Roman" w:cs="Times New Roman"/>
          <w:sz w:val="28"/>
          <w:szCs w:val="28"/>
          <w:lang w:val="en-US"/>
        </w:rPr>
        <w:t>, kiểm tra</w:t>
      </w:r>
      <w:r w:rsidR="00446E15" w:rsidRPr="00CC0061">
        <w:rPr>
          <w:rFonts w:ascii="Times New Roman" w:eastAsia="Times New Roman" w:hAnsi="Times New Roman" w:cs="Times New Roman"/>
          <w:sz w:val="28"/>
          <w:szCs w:val="28"/>
        </w:rPr>
        <w:t xml:space="preserve"> </w:t>
      </w:r>
      <w:r w:rsidRPr="00CC0061">
        <w:rPr>
          <w:rFonts w:ascii="Times New Roman" w:eastAsia="Times New Roman" w:hAnsi="Times New Roman" w:cs="Times New Roman"/>
          <w:sz w:val="28"/>
          <w:szCs w:val="28"/>
        </w:rPr>
        <w:t>đến 60 ngày mà chưa thu hồi được;</w:t>
      </w:r>
    </w:p>
    <w:p w14:paraId="3C0B92ED" w14:textId="77777777" w:rsidR="00133F17" w:rsidRPr="00500B6F" w:rsidRDefault="008842DA" w:rsidP="00DF2532">
      <w:pPr>
        <w:widowControl/>
        <w:spacing w:before="120" w:after="120"/>
        <w:ind w:left="-2" w:firstLineChars="202" w:firstLine="566"/>
        <w:jc w:val="both"/>
        <w:rPr>
          <w:rFonts w:ascii="Times New Roman" w:eastAsia="Times New Roman" w:hAnsi="Times New Roman" w:cs="Times New Roman"/>
          <w:sz w:val="28"/>
          <w:szCs w:val="28"/>
          <w:lang w:val="en-US"/>
        </w:rPr>
      </w:pPr>
      <w:r w:rsidRPr="00CC0061">
        <w:rPr>
          <w:rFonts w:ascii="Times New Roman" w:eastAsia="Times New Roman" w:hAnsi="Times New Roman" w:cs="Times New Roman"/>
          <w:sz w:val="28"/>
          <w:szCs w:val="28"/>
        </w:rPr>
        <w:t xml:space="preserve">(vi) Khoản nợ phải thu hồi theo quyết định thu hồi nợ trước hạn của tổ chức tín dụng, chi nhánh ngân hàng nước ngoài </w:t>
      </w:r>
      <w:r w:rsidR="00C553A5" w:rsidRPr="00CC0061">
        <w:rPr>
          <w:rFonts w:ascii="Times New Roman" w:eastAsia="Times New Roman" w:hAnsi="Times New Roman" w:cs="Times New Roman"/>
          <w:sz w:val="28"/>
          <w:szCs w:val="28"/>
        </w:rPr>
        <w:t>do khách hàng vi phạm</w:t>
      </w:r>
      <w:r w:rsidR="00C553A5" w:rsidRPr="00CC0061">
        <w:rPr>
          <w:rFonts w:ascii="Times New Roman" w:eastAsia="Times New Roman" w:hAnsi="Times New Roman" w:cs="Times New Roman"/>
          <w:sz w:val="28"/>
          <w:szCs w:val="28"/>
          <w:lang w:val="en-US"/>
        </w:rPr>
        <w:t xml:space="preserve"> </w:t>
      </w:r>
      <w:r w:rsidRPr="00CC0061">
        <w:rPr>
          <w:rFonts w:ascii="Times New Roman" w:eastAsia="Times New Roman" w:hAnsi="Times New Roman" w:cs="Times New Roman"/>
          <w:sz w:val="28"/>
          <w:szCs w:val="28"/>
        </w:rPr>
        <w:t>thỏa thuận với tổ chức tín dụng, chi nhánh ngân hàng nước ngoài chưa thu hồi được trong thời gian từ 30 ngày đến 60 ngày k</w:t>
      </w:r>
      <w:r w:rsidR="00500B6F">
        <w:rPr>
          <w:rFonts w:ascii="Times New Roman" w:eastAsia="Times New Roman" w:hAnsi="Times New Roman" w:cs="Times New Roman"/>
          <w:sz w:val="28"/>
          <w:szCs w:val="28"/>
        </w:rPr>
        <w:t>ể từ ngày có quyết định thu hồi</w:t>
      </w:r>
      <w:r w:rsidR="00500B6F">
        <w:rPr>
          <w:rFonts w:ascii="Times New Roman" w:eastAsia="Times New Roman" w:hAnsi="Times New Roman" w:cs="Times New Roman"/>
          <w:sz w:val="28"/>
          <w:szCs w:val="28"/>
          <w:lang w:val="en-US"/>
        </w:rPr>
        <w:t>;</w:t>
      </w:r>
    </w:p>
    <w:p w14:paraId="23105728"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lastRenderedPageBreak/>
        <w:t>(vii) Khoản nợ được phân loại vào nhóm 4 theo quy định tại khoản 2</w:t>
      </w:r>
      <w:r w:rsidR="001722DF">
        <w:rPr>
          <w:rFonts w:ascii="Times New Roman" w:eastAsia="Times New Roman" w:hAnsi="Times New Roman" w:cs="Times New Roman"/>
          <w:sz w:val="28"/>
          <w:szCs w:val="28"/>
          <w:lang w:val="en-US"/>
        </w:rPr>
        <w:t>,</w:t>
      </w:r>
      <w:r w:rsidRPr="00CC0061">
        <w:rPr>
          <w:rFonts w:ascii="Times New Roman" w:eastAsia="Times New Roman" w:hAnsi="Times New Roman" w:cs="Times New Roman"/>
          <w:sz w:val="28"/>
          <w:szCs w:val="28"/>
        </w:rPr>
        <w:t xml:space="preserve"> khoản 3 Điều này;</w:t>
      </w:r>
    </w:p>
    <w:p w14:paraId="44EC50D4"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(viii) Khoản nợ phải phân loại vào nhóm 4 theo quy định tại khoản 4 Điều 8 Thông tư này.</w:t>
      </w:r>
    </w:p>
    <w:p w14:paraId="38E5B0CE"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xml:space="preserve">đ) Nhóm 5 (Nợ có khả năng mất vốn) bao gồm: </w:t>
      </w:r>
    </w:p>
    <w:p w14:paraId="5EBC95DE"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(i) Khoản nợ quá hạn trên 360 ngày;</w:t>
      </w:r>
    </w:p>
    <w:p w14:paraId="03CE46FC"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(ii) Khoản nợ cơ cấu lại thời hạn trả nợ lần đầu quá hạn từ 91 ngày trở lên theo thời hạn trả nợ được cơ cấu lại lần đầu;</w:t>
      </w:r>
    </w:p>
    <w:p w14:paraId="1B85E327"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(iii) Khoản nợ cơ cấu lại thời hạn trả nợ lần thứ hai quá hạn theo thời hạn trả nợ được cơ cấu lại lần thứ hai;</w:t>
      </w:r>
    </w:p>
    <w:p w14:paraId="7A680C15"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(iv) Khoản nợ cơ cấu lại thời hạn trả nợ lần thứ ba trở lên, trừ khoản nợ quy định tại điểm b khoản 2 Điều này;</w:t>
      </w:r>
    </w:p>
    <w:p w14:paraId="04A47552"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Arial" w:eastAsia="Arial" w:hAnsi="Arial" w:cs="Arial"/>
          <w:color w:val="333333"/>
          <w:sz w:val="28"/>
          <w:szCs w:val="28"/>
        </w:rPr>
        <w:t>(</w:t>
      </w:r>
      <w:r w:rsidRPr="00CC0061">
        <w:rPr>
          <w:rFonts w:ascii="Times New Roman" w:eastAsia="Times New Roman" w:hAnsi="Times New Roman" w:cs="Times New Roman"/>
          <w:sz w:val="28"/>
          <w:szCs w:val="28"/>
        </w:rPr>
        <w:t>v) Khoản nợ quy định tại điểm c(iv) khoản 1 Điều này ch</w:t>
      </w:r>
      <w:r w:rsidR="00C553A5" w:rsidRPr="00CC0061">
        <w:rPr>
          <w:rFonts w:ascii="Times New Roman" w:eastAsia="Times New Roman" w:hAnsi="Times New Roman" w:cs="Times New Roman"/>
          <w:sz w:val="28"/>
          <w:szCs w:val="28"/>
        </w:rPr>
        <w:t>ưa thu hồi được</w:t>
      </w:r>
      <w:r w:rsidR="00C553A5" w:rsidRPr="00CC0061">
        <w:rPr>
          <w:rFonts w:ascii="Times New Roman" w:eastAsia="Times New Roman" w:hAnsi="Times New Roman" w:cs="Times New Roman"/>
          <w:sz w:val="28"/>
          <w:szCs w:val="28"/>
          <w:lang w:val="en-US"/>
        </w:rPr>
        <w:t xml:space="preserve"> </w:t>
      </w:r>
      <w:r w:rsidRPr="00CC0061">
        <w:rPr>
          <w:rFonts w:ascii="Times New Roman" w:eastAsia="Times New Roman" w:hAnsi="Times New Roman" w:cs="Times New Roman"/>
          <w:sz w:val="28"/>
          <w:szCs w:val="28"/>
        </w:rPr>
        <w:t>trên 60 ngày kể từ ngày có quyết định thu hồi;</w:t>
      </w:r>
    </w:p>
    <w:p w14:paraId="34358FA6"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xml:space="preserve">(vi) Khoản nợ phải thu hồi theo kết luận </w:t>
      </w:r>
      <w:r w:rsidR="00446E15" w:rsidRPr="00CC0061">
        <w:rPr>
          <w:rFonts w:ascii="Times New Roman" w:eastAsia="Times New Roman" w:hAnsi="Times New Roman" w:cs="Times New Roman"/>
          <w:sz w:val="28"/>
          <w:szCs w:val="28"/>
        </w:rPr>
        <w:t>thanh tra</w:t>
      </w:r>
      <w:r w:rsidR="00446E15" w:rsidRPr="00CC0061">
        <w:rPr>
          <w:rFonts w:ascii="Times New Roman" w:eastAsia="Times New Roman" w:hAnsi="Times New Roman" w:cs="Times New Roman"/>
          <w:sz w:val="28"/>
          <w:szCs w:val="28"/>
          <w:lang w:val="en-US"/>
        </w:rPr>
        <w:t>, kiểm tra</w:t>
      </w:r>
      <w:r w:rsidR="00446E15" w:rsidRPr="00CC0061">
        <w:rPr>
          <w:rFonts w:ascii="Times New Roman" w:eastAsia="Times New Roman" w:hAnsi="Times New Roman" w:cs="Times New Roman"/>
          <w:sz w:val="28"/>
          <w:szCs w:val="28"/>
        </w:rPr>
        <w:t xml:space="preserve"> </w:t>
      </w:r>
      <w:r w:rsidRPr="00CC0061">
        <w:rPr>
          <w:rFonts w:ascii="Times New Roman" w:eastAsia="Times New Roman" w:hAnsi="Times New Roman" w:cs="Times New Roman"/>
          <w:sz w:val="28"/>
          <w:szCs w:val="28"/>
        </w:rPr>
        <w:t xml:space="preserve">nhưng quá thời hạn thu hồi theo kết luận </w:t>
      </w:r>
      <w:r w:rsidR="00446E15" w:rsidRPr="00CC0061">
        <w:rPr>
          <w:rFonts w:ascii="Times New Roman" w:eastAsia="Times New Roman" w:hAnsi="Times New Roman" w:cs="Times New Roman"/>
          <w:sz w:val="28"/>
          <w:szCs w:val="28"/>
        </w:rPr>
        <w:t>thanh tra</w:t>
      </w:r>
      <w:r w:rsidR="00446E15" w:rsidRPr="00CC0061">
        <w:rPr>
          <w:rFonts w:ascii="Times New Roman" w:eastAsia="Times New Roman" w:hAnsi="Times New Roman" w:cs="Times New Roman"/>
          <w:sz w:val="28"/>
          <w:szCs w:val="28"/>
          <w:lang w:val="en-US"/>
        </w:rPr>
        <w:t>, kiểm tra</w:t>
      </w:r>
      <w:r w:rsidR="00446E15" w:rsidRPr="00CC0061">
        <w:rPr>
          <w:rFonts w:ascii="Times New Roman" w:eastAsia="Times New Roman" w:hAnsi="Times New Roman" w:cs="Times New Roman"/>
          <w:sz w:val="28"/>
          <w:szCs w:val="28"/>
        </w:rPr>
        <w:t xml:space="preserve"> </w:t>
      </w:r>
      <w:r w:rsidRPr="00CC0061">
        <w:rPr>
          <w:rFonts w:ascii="Times New Roman" w:eastAsia="Times New Roman" w:hAnsi="Times New Roman" w:cs="Times New Roman"/>
          <w:sz w:val="28"/>
          <w:szCs w:val="28"/>
        </w:rPr>
        <w:t>trên 60 ngày mà chưa thu hồi được;</w:t>
      </w:r>
    </w:p>
    <w:p w14:paraId="05D4AA60" w14:textId="77777777" w:rsidR="00133F17" w:rsidRPr="00CC0061" w:rsidRDefault="008842DA" w:rsidP="00DF2532">
      <w:pPr>
        <w:widowControl/>
        <w:spacing w:before="120" w:after="120"/>
        <w:ind w:left="-2" w:firstLineChars="202" w:firstLine="566"/>
        <w:jc w:val="both"/>
        <w:rPr>
          <w:rFonts w:ascii="Times New Roman" w:eastAsia="Times New Roman" w:hAnsi="Times New Roman" w:cs="Times New Roman"/>
          <w:sz w:val="28"/>
          <w:szCs w:val="28"/>
          <w:lang w:val="en-US"/>
        </w:rPr>
      </w:pPr>
      <w:r w:rsidRPr="00CC0061">
        <w:rPr>
          <w:rFonts w:ascii="Times New Roman" w:eastAsia="Times New Roman" w:hAnsi="Times New Roman" w:cs="Times New Roman"/>
          <w:sz w:val="28"/>
          <w:szCs w:val="28"/>
        </w:rPr>
        <w:t>(vii) Khoản nợ phải thu hồi theo quyết định thu hồi nợ trước hạn của tổ chức tín dụng, chi nhánh ngân hàng nước ngoài</w:t>
      </w:r>
      <w:r w:rsidR="00C553A5" w:rsidRPr="00CC0061">
        <w:rPr>
          <w:rFonts w:ascii="Times New Roman" w:eastAsia="Times New Roman" w:hAnsi="Times New Roman" w:cs="Times New Roman"/>
          <w:sz w:val="28"/>
          <w:szCs w:val="28"/>
        </w:rPr>
        <w:t xml:space="preserve"> do khách hàng vi phạm</w:t>
      </w:r>
      <w:r w:rsidRPr="00CC0061">
        <w:rPr>
          <w:rFonts w:ascii="Times New Roman" w:eastAsia="Times New Roman" w:hAnsi="Times New Roman" w:cs="Times New Roman"/>
          <w:sz w:val="28"/>
          <w:szCs w:val="28"/>
        </w:rPr>
        <w:t xml:space="preserve"> thỏa thuận với tổ chức tín dụng, chi nhánh ngân hàng nước ngoài ch</w:t>
      </w:r>
      <w:r w:rsidR="00C553A5" w:rsidRPr="00CC0061">
        <w:rPr>
          <w:rFonts w:ascii="Times New Roman" w:eastAsia="Times New Roman" w:hAnsi="Times New Roman" w:cs="Times New Roman"/>
          <w:sz w:val="28"/>
          <w:szCs w:val="28"/>
        </w:rPr>
        <w:t>ưa thu hồi được</w:t>
      </w:r>
      <w:r w:rsidR="00C553A5" w:rsidRPr="00CC0061">
        <w:rPr>
          <w:rFonts w:ascii="Times New Roman" w:eastAsia="Times New Roman" w:hAnsi="Times New Roman" w:cs="Times New Roman"/>
          <w:sz w:val="28"/>
          <w:szCs w:val="28"/>
          <w:lang w:val="en-US"/>
        </w:rPr>
        <w:t xml:space="preserve"> </w:t>
      </w:r>
      <w:r w:rsidRPr="00CC0061">
        <w:rPr>
          <w:rFonts w:ascii="Times New Roman" w:eastAsia="Times New Roman" w:hAnsi="Times New Roman" w:cs="Times New Roman"/>
          <w:sz w:val="28"/>
          <w:szCs w:val="28"/>
        </w:rPr>
        <w:t>trên 60 ngày k</w:t>
      </w:r>
      <w:r w:rsidR="00C553A5" w:rsidRPr="00CC0061">
        <w:rPr>
          <w:rFonts w:ascii="Times New Roman" w:eastAsia="Times New Roman" w:hAnsi="Times New Roman" w:cs="Times New Roman"/>
          <w:sz w:val="28"/>
          <w:szCs w:val="28"/>
        </w:rPr>
        <w:t>ể từ ngày có quyết định thu hồi</w:t>
      </w:r>
      <w:r w:rsidR="00C553A5" w:rsidRPr="00CC0061">
        <w:rPr>
          <w:rFonts w:ascii="Times New Roman" w:eastAsia="Times New Roman" w:hAnsi="Times New Roman" w:cs="Times New Roman"/>
          <w:sz w:val="28"/>
          <w:szCs w:val="28"/>
          <w:lang w:val="en-US"/>
        </w:rPr>
        <w:t>;</w:t>
      </w:r>
    </w:p>
    <w:p w14:paraId="4A98DAE6"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(viii) Khoản nợ của khác</w:t>
      </w:r>
      <w:r w:rsidR="00C553A5" w:rsidRPr="00CC0061">
        <w:rPr>
          <w:rFonts w:ascii="Times New Roman" w:eastAsia="Times New Roman" w:hAnsi="Times New Roman" w:cs="Times New Roman"/>
          <w:sz w:val="28"/>
          <w:szCs w:val="28"/>
        </w:rPr>
        <w:t xml:space="preserve">h hàng là tổ chức tín dụng </w:t>
      </w:r>
      <w:r w:rsidR="00C553A5" w:rsidRPr="00CC0061">
        <w:rPr>
          <w:rFonts w:ascii="Times New Roman" w:eastAsia="Times New Roman" w:hAnsi="Times New Roman" w:cs="Times New Roman"/>
          <w:sz w:val="28"/>
          <w:szCs w:val="28"/>
          <w:lang w:val="en-US"/>
        </w:rPr>
        <w:t xml:space="preserve">đang </w:t>
      </w:r>
      <w:r w:rsidR="00C553A5" w:rsidRPr="00CC0061">
        <w:rPr>
          <w:rFonts w:ascii="Times New Roman" w:eastAsia="Times New Roman" w:hAnsi="Times New Roman" w:cs="Times New Roman"/>
          <w:sz w:val="28"/>
          <w:szCs w:val="28"/>
        </w:rPr>
        <w:t>được</w:t>
      </w:r>
      <w:r w:rsidRPr="00CC0061">
        <w:rPr>
          <w:rFonts w:ascii="Times New Roman" w:eastAsia="Times New Roman" w:hAnsi="Times New Roman" w:cs="Times New Roman"/>
          <w:sz w:val="28"/>
          <w:szCs w:val="28"/>
        </w:rPr>
        <w:t xml:space="preserve"> kiểm soát đặc biệt, chi nhánh ngân hàng nước ngoài </w:t>
      </w:r>
      <w:r w:rsidR="00500B6F">
        <w:rPr>
          <w:rFonts w:ascii="Times New Roman" w:eastAsia="Times New Roman" w:hAnsi="Times New Roman" w:cs="Times New Roman"/>
          <w:sz w:val="28"/>
          <w:szCs w:val="28"/>
          <w:lang w:val="en-US"/>
        </w:rPr>
        <w:t xml:space="preserve">đang </w:t>
      </w:r>
      <w:r w:rsidRPr="00CC0061">
        <w:rPr>
          <w:rFonts w:ascii="Times New Roman" w:eastAsia="Times New Roman" w:hAnsi="Times New Roman" w:cs="Times New Roman"/>
          <w:sz w:val="28"/>
          <w:szCs w:val="28"/>
        </w:rPr>
        <w:t>bị phong tỏa vốn và tài sản;</w:t>
      </w:r>
    </w:p>
    <w:p w14:paraId="651281F8"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(ix) Khoản nợ được phân loại vào nhóm 5 theo quy định tại khoản 3 Điều này;</w:t>
      </w:r>
    </w:p>
    <w:p w14:paraId="1210EDD3"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(x) Khoản nợ phải phân loại vào nhóm 5 theo quy định tại khoản 4 Điều 8 Thông tư này.</w:t>
      </w:r>
    </w:p>
    <w:p w14:paraId="2E806C41"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2. Khoản nợ được phân loại vào nhóm nợ có rủi ro thấp hơn trong các trường hợp sau đây:</w:t>
      </w:r>
    </w:p>
    <w:p w14:paraId="0FC5C0B9"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a) Đối với khoản nợ quá hạn, tổ chức tín dụng, chi nhánh ngân hàng nước ngoài phân loại lại vào nhóm nợ có rủi ro thấp hơn (kể cả nhóm 1) khi đáp ứng đầy đủ các điều kiện sau đây:</w:t>
      </w:r>
    </w:p>
    <w:p w14:paraId="307F3B25"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(i) Khách hàng đã trả đầy đủ phần nợ gốc và lãi bị quá hạn (kể cả lãi áp dụng đối với nợ gốc quá hạn) và nợ gốc và lãi của các kỳ hạn trả nợ tiếp theo trong thời gian tối thiểu 03</w:t>
      </w:r>
      <w:r w:rsidR="00C553A5" w:rsidRPr="00CC0061">
        <w:rPr>
          <w:rFonts w:ascii="Times New Roman" w:eastAsia="Times New Roman" w:hAnsi="Times New Roman" w:cs="Times New Roman"/>
          <w:sz w:val="28"/>
          <w:szCs w:val="28"/>
        </w:rPr>
        <w:t xml:space="preserve"> (ba) tháng đối với nợ trung</w:t>
      </w:r>
      <w:r w:rsidR="00C553A5" w:rsidRPr="00CC0061">
        <w:rPr>
          <w:rFonts w:ascii="Times New Roman" w:eastAsia="Times New Roman" w:hAnsi="Times New Roman" w:cs="Times New Roman"/>
          <w:sz w:val="28"/>
          <w:szCs w:val="28"/>
          <w:lang w:val="en-US"/>
        </w:rPr>
        <w:t xml:space="preserve"> hạn, </w:t>
      </w:r>
      <w:r w:rsidRPr="00CC0061">
        <w:rPr>
          <w:rFonts w:ascii="Times New Roman" w:eastAsia="Times New Roman" w:hAnsi="Times New Roman" w:cs="Times New Roman"/>
          <w:sz w:val="28"/>
          <w:szCs w:val="28"/>
        </w:rPr>
        <w:t>dài hạn, 01 (một) tháng đối với nợ ngắn hạn, kể từ ngày bắt đầu trả đầy đủ nợ gốc và lãi bị quá hạn;</w:t>
      </w:r>
    </w:p>
    <w:p w14:paraId="1C0CCE4A"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(ii) Có tài liệu, hồ sơ chứng minh việc khách hàng đã trả nợ;</w:t>
      </w:r>
    </w:p>
    <w:p w14:paraId="3252AA2D"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lastRenderedPageBreak/>
        <w:t>(iii) Tổ chức tín dụng, chi nhánh ngân hàng nước ngoài có đủ cơ sở thông tin, tài liệu đánh giá khách hàng có khả năng trả đầy đủ nợ gốc và lãi còn lại đúng thời hạn.</w:t>
      </w:r>
    </w:p>
    <w:p w14:paraId="28574A27"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xml:space="preserve"> b) Đối với nợ cơ cấu lại thời hạn trả nợ, tổ chức tín dụng, chi nhánh ngân hàng nước ngoài phân loại lại vào nhóm nợ có rủi ro thấp hơn (kể cả nhóm 1) khi đáp ứng đầy đủ các điều kiện sau đây:</w:t>
      </w:r>
    </w:p>
    <w:p w14:paraId="37C490C9"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color w:val="FF0000"/>
          <w:sz w:val="28"/>
          <w:szCs w:val="28"/>
        </w:rPr>
      </w:pPr>
      <w:r w:rsidRPr="00CC0061">
        <w:rPr>
          <w:rFonts w:ascii="Times New Roman" w:eastAsia="Times New Roman" w:hAnsi="Times New Roman" w:cs="Times New Roman"/>
          <w:sz w:val="28"/>
          <w:szCs w:val="28"/>
        </w:rPr>
        <w:t>(i) Khách hàng đã trả đầy đủ nợ gốc và lãi theo thời hạn trả nợ được cơ cấu lại trong thời gian tối thiểu 03</w:t>
      </w:r>
      <w:r w:rsidR="002C7746">
        <w:rPr>
          <w:rFonts w:ascii="Times New Roman" w:eastAsia="Times New Roman" w:hAnsi="Times New Roman" w:cs="Times New Roman"/>
          <w:sz w:val="28"/>
          <w:szCs w:val="28"/>
          <w:lang w:val="en-US"/>
        </w:rPr>
        <w:t xml:space="preserve"> (ba)</w:t>
      </w:r>
      <w:r w:rsidRPr="00CC0061">
        <w:rPr>
          <w:rFonts w:ascii="Times New Roman" w:eastAsia="Times New Roman" w:hAnsi="Times New Roman" w:cs="Times New Roman"/>
          <w:sz w:val="28"/>
          <w:szCs w:val="28"/>
        </w:rPr>
        <w:t xml:space="preserve"> tháng đối với nợ trung </w:t>
      </w:r>
      <w:r w:rsidR="00311A13" w:rsidRPr="00CC0061">
        <w:rPr>
          <w:rFonts w:ascii="Times New Roman" w:eastAsia="Times New Roman" w:hAnsi="Times New Roman" w:cs="Times New Roman"/>
          <w:sz w:val="28"/>
          <w:szCs w:val="28"/>
          <w:lang w:val="en-US"/>
        </w:rPr>
        <w:t xml:space="preserve">hạn, </w:t>
      </w:r>
      <w:r w:rsidRPr="00CC0061">
        <w:rPr>
          <w:rFonts w:ascii="Times New Roman" w:eastAsia="Times New Roman" w:hAnsi="Times New Roman" w:cs="Times New Roman"/>
          <w:sz w:val="28"/>
          <w:szCs w:val="28"/>
        </w:rPr>
        <w:t>dài hạn, 01 (một) tháng đối với nợ ngắn hạn, kể từ ngày bắt đầu trả đầy đủ nợ gốc và lãi theo thời hạn được cơ cấu lại;</w:t>
      </w:r>
    </w:p>
    <w:p w14:paraId="0AF347F7"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(ii) Có tài liệu, hồ sơ chứng minh việc khách hàng đã trả nợ;</w:t>
      </w:r>
    </w:p>
    <w:p w14:paraId="321C7326"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(iii) Tổ chức tín dụng, chi nhánh ngân hàng nước ngoài có đủ cơ sở thông tin, tài liệu để đánh giá khách hàng có khả năng trả đầy đủ nợ gốc và lãi còn lại đúng thời hạn đã được cơ cấu lại.</w:t>
      </w:r>
    </w:p>
    <w:p w14:paraId="087A36ED"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3. Khoản nợ được phân loại vào nhóm nợ có rủi ro cao hơn trong các trường hợp sau đây:</w:t>
      </w:r>
    </w:p>
    <w:p w14:paraId="5399C577"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a) Các chỉ tiêu về khả năng sinh lời, khả năng thanh toán, tỷ lệ nợ trên vốn, dòng tiền, khả năng trả nợ của khách hàng suy giảm liên tục qua 03 lần đánh giá, phân loại nợ liên tục;</w:t>
      </w:r>
    </w:p>
    <w:p w14:paraId="4D3935E1"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b) Khách hàng không cung cấp đầy đủ, kịp thời và tr</w:t>
      </w:r>
      <w:r w:rsidR="006D3D82" w:rsidRPr="00CC0061">
        <w:rPr>
          <w:rFonts w:ascii="Times New Roman" w:eastAsia="Times New Roman" w:hAnsi="Times New Roman" w:cs="Times New Roman"/>
          <w:sz w:val="28"/>
          <w:szCs w:val="28"/>
        </w:rPr>
        <w:t xml:space="preserve">ung thực các thông tin </w:t>
      </w:r>
      <w:r w:rsidRPr="00CC0061">
        <w:rPr>
          <w:rFonts w:ascii="Times New Roman" w:eastAsia="Times New Roman" w:hAnsi="Times New Roman" w:cs="Times New Roman"/>
          <w:sz w:val="28"/>
          <w:szCs w:val="28"/>
        </w:rPr>
        <w:t xml:space="preserve"> theo yêu cầu của tổ chức tín dụng, chi nhánh ngân hàng nước ngoài để đánh giá khả năng trả nợ của khách hàng;</w:t>
      </w:r>
    </w:p>
    <w:p w14:paraId="26D4D5CD"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c) Khoản nợ đã được phân loại vào nhóm 2, nhóm 3, nhóm</w:t>
      </w:r>
      <w:r w:rsidR="00F91FB0">
        <w:rPr>
          <w:rFonts w:ascii="Times New Roman" w:eastAsia="Times New Roman" w:hAnsi="Times New Roman" w:cs="Times New Roman"/>
          <w:sz w:val="28"/>
          <w:szCs w:val="28"/>
        </w:rPr>
        <w:t xml:space="preserve"> 4 theo quy định tại điểm a, b K</w:t>
      </w:r>
      <w:r w:rsidRPr="00CC0061">
        <w:rPr>
          <w:rFonts w:ascii="Times New Roman" w:eastAsia="Times New Roman" w:hAnsi="Times New Roman" w:cs="Times New Roman"/>
          <w:sz w:val="28"/>
          <w:szCs w:val="28"/>
        </w:rPr>
        <w:t>hoản này từ 01 (một) năm trở lên nhưng không đủ điều kiện phân loại vào nhóm nợ có rủi ro thấp hơn;</w:t>
      </w:r>
    </w:p>
    <w:p w14:paraId="4E1AE3E0"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d) Khoản nợ mà hành vi cấp tín dụng bị xử phạt vi phạm hành chính theo quy định của pháp luật.</w:t>
      </w:r>
    </w:p>
    <w:p w14:paraId="78A4F05F"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4. Phân loại cam kết ngoại bảng và khoản trả thay theo cam kết ngoại bảng:</w:t>
      </w:r>
    </w:p>
    <w:p w14:paraId="6AA67135"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a) Phân loại cam kết ngoại bảng:</w:t>
      </w:r>
    </w:p>
    <w:p w14:paraId="0E51F279" w14:textId="77777777" w:rsidR="00133F17" w:rsidRPr="008F1A48"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lang w:val="en-US"/>
        </w:rPr>
      </w:pPr>
      <w:r w:rsidRPr="00CC0061">
        <w:rPr>
          <w:rFonts w:ascii="Times New Roman" w:eastAsia="Times New Roman" w:hAnsi="Times New Roman" w:cs="Times New Roman"/>
          <w:sz w:val="28"/>
          <w:szCs w:val="28"/>
        </w:rPr>
        <w:t>(i) Phân loại vào nhóm 1 nếu tổ chức tín dụng, chi nhánh ngân hàng nước ngoài đánh giá khách hàng có khả năng thực hiện đ</w:t>
      </w:r>
      <w:r w:rsidR="008F1A48">
        <w:rPr>
          <w:rFonts w:ascii="Times New Roman" w:eastAsia="Times New Roman" w:hAnsi="Times New Roman" w:cs="Times New Roman"/>
          <w:sz w:val="28"/>
          <w:szCs w:val="28"/>
        </w:rPr>
        <w:t>ầy đủ các nghĩa vụ theo cam kết</w:t>
      </w:r>
      <w:r w:rsidR="008F1A48">
        <w:rPr>
          <w:rFonts w:ascii="Times New Roman" w:eastAsia="Times New Roman" w:hAnsi="Times New Roman" w:cs="Times New Roman"/>
          <w:sz w:val="28"/>
          <w:szCs w:val="28"/>
          <w:lang w:val="en-US"/>
        </w:rPr>
        <w:t>;</w:t>
      </w:r>
    </w:p>
    <w:p w14:paraId="78CFB4DD" w14:textId="77777777" w:rsidR="00133F17" w:rsidRPr="008F1A48"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lang w:val="en-US"/>
        </w:rPr>
      </w:pPr>
      <w:r w:rsidRPr="00CC0061">
        <w:rPr>
          <w:rFonts w:ascii="Times New Roman" w:eastAsia="Times New Roman" w:hAnsi="Times New Roman" w:cs="Times New Roman"/>
          <w:sz w:val="28"/>
          <w:szCs w:val="28"/>
        </w:rPr>
        <w:t>(ii) Phân loại vào nhóm 2 trở lên nếu tổ chức tín dụng, chi nhánh ngân hàng nước ngoài đánh giá khách hàng không có khả năng thực</w:t>
      </w:r>
      <w:r w:rsidR="008F1A48">
        <w:rPr>
          <w:rFonts w:ascii="Times New Roman" w:eastAsia="Times New Roman" w:hAnsi="Times New Roman" w:cs="Times New Roman"/>
          <w:sz w:val="28"/>
          <w:szCs w:val="28"/>
        </w:rPr>
        <w:t xml:space="preserve"> hiện các nghĩa vụ theo cam kết</w:t>
      </w:r>
      <w:r w:rsidR="008F1A48">
        <w:rPr>
          <w:rFonts w:ascii="Times New Roman" w:eastAsia="Times New Roman" w:hAnsi="Times New Roman" w:cs="Times New Roman"/>
          <w:sz w:val="28"/>
          <w:szCs w:val="28"/>
          <w:lang w:val="en-US"/>
        </w:rPr>
        <w:t>;</w:t>
      </w:r>
    </w:p>
    <w:p w14:paraId="535A893B"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(iii) Phân loại vào nhóm 3 trở lên đối với cam kết ngoại bảng thuộc một trong các trường hợp quy định tại điểm c (iv) khoản 1 Điều này.</w:t>
      </w:r>
    </w:p>
    <w:p w14:paraId="534F7B84"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b) Phân loại khoản trả thay theo cam kết ngoại bảng:</w:t>
      </w:r>
    </w:p>
    <w:p w14:paraId="2B42640D" w14:textId="77777777" w:rsidR="00133F17" w:rsidRPr="008F1A48"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lang w:val="en-US"/>
        </w:rPr>
      </w:pPr>
      <w:r w:rsidRPr="00CC0061">
        <w:rPr>
          <w:rFonts w:ascii="Times New Roman" w:eastAsia="Times New Roman" w:hAnsi="Times New Roman" w:cs="Times New Roman"/>
          <w:sz w:val="28"/>
          <w:szCs w:val="28"/>
        </w:rPr>
        <w:lastRenderedPageBreak/>
        <w:t xml:space="preserve">(i) Ngày quá hạn được tính ngay từ ngày tổ chức tín dụng, chi nhánh ngân hàng nước ngoài </w:t>
      </w:r>
      <w:r w:rsidR="008F1A48">
        <w:rPr>
          <w:rFonts w:ascii="Times New Roman" w:eastAsia="Times New Roman" w:hAnsi="Times New Roman" w:cs="Times New Roman"/>
          <w:sz w:val="28"/>
          <w:szCs w:val="28"/>
        </w:rPr>
        <w:t>thực hiện nghĩa vụ theo cam kết</w:t>
      </w:r>
      <w:r w:rsidR="008F1A48">
        <w:rPr>
          <w:rFonts w:ascii="Times New Roman" w:eastAsia="Times New Roman" w:hAnsi="Times New Roman" w:cs="Times New Roman"/>
          <w:sz w:val="28"/>
          <w:szCs w:val="28"/>
          <w:lang w:val="en-US"/>
        </w:rPr>
        <w:t>;</w:t>
      </w:r>
    </w:p>
    <w:p w14:paraId="2D050C2F"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(ii) Khoản trả thay theo cam kết ngoại bảng được phân loại như sau:</w:t>
      </w:r>
    </w:p>
    <w:p w14:paraId="35B12929"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Phân loại vào nhóm 3 nếu quá hạn dưới 30 ngày;</w:t>
      </w:r>
    </w:p>
    <w:p w14:paraId="6884EBAC"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Phân loại vào nhóm 4 nếu quá hạn từ 30 ngày đến dưới 90 ngày;</w:t>
      </w:r>
    </w:p>
    <w:p w14:paraId="4E522742"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Phân loại vào nhóm 5 nếu quá hạn từ 90 ngày trở lên.</w:t>
      </w:r>
    </w:p>
    <w:p w14:paraId="40B8FFE5"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Trường hợp khoản trả thay phân loại vào nhóm rủi ro thấp hơn nhóm mà cam kết ngoại bảng được trả thay đã phân loại theo quy định tại điểm a (ii</w:t>
      </w:r>
      <w:r w:rsidR="00F91FB0">
        <w:rPr>
          <w:rFonts w:ascii="Times New Roman" w:eastAsia="Times New Roman" w:hAnsi="Times New Roman" w:cs="Times New Roman"/>
          <w:sz w:val="28"/>
          <w:szCs w:val="28"/>
        </w:rPr>
        <w:t>), điểm a (iii) K</w:t>
      </w:r>
      <w:r w:rsidRPr="00CC0061">
        <w:rPr>
          <w:rFonts w:ascii="Times New Roman" w:eastAsia="Times New Roman" w:hAnsi="Times New Roman" w:cs="Times New Roman"/>
          <w:sz w:val="28"/>
          <w:szCs w:val="28"/>
        </w:rPr>
        <w:t>hoản này thì phải chuyển vào nhóm mà cam kết ngoại bảng đó đã phân loại.</w:t>
      </w:r>
    </w:p>
    <w:p w14:paraId="143DC3C5" w14:textId="77777777" w:rsidR="00133F17" w:rsidRPr="00CC0061" w:rsidRDefault="008842DA" w:rsidP="00DF2532">
      <w:pPr>
        <w:widowControl/>
        <w:spacing w:before="120" w:after="120" w:line="240" w:lineRule="auto"/>
        <w:ind w:left="-2" w:firstLineChars="202" w:firstLine="568"/>
        <w:jc w:val="both"/>
        <w:rPr>
          <w:rFonts w:ascii="Times New Roman" w:eastAsia="Times New Roman" w:hAnsi="Times New Roman" w:cs="Times New Roman"/>
          <w:sz w:val="28"/>
          <w:szCs w:val="28"/>
        </w:rPr>
      </w:pPr>
      <w:r w:rsidRPr="00CC0061">
        <w:rPr>
          <w:rFonts w:ascii="Times New Roman" w:eastAsia="Times New Roman" w:hAnsi="Times New Roman" w:cs="Times New Roman"/>
          <w:b/>
          <w:sz w:val="28"/>
          <w:szCs w:val="28"/>
        </w:rPr>
        <w:t>Điều 11. Phân loại nợ và cam kết ngoại bảng theo phương pháp định tính</w:t>
      </w:r>
    </w:p>
    <w:p w14:paraId="208C0C4C"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1. Tổ chức tín dụng, chi nhánh ngân hàng nước ngoài phân loại nợ, cam kết ngoại bảng theo 05 nhóm như sau:</w:t>
      </w:r>
    </w:p>
    <w:p w14:paraId="37C08E23"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xml:space="preserve">a) Nhóm 1 (Nợ đủ tiêu chuẩn) bao gồm: </w:t>
      </w:r>
    </w:p>
    <w:p w14:paraId="711995FA"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Các khoản nợ được tổ chức tín dụng, chi nhánh ngân hàng nước ngoài đánh giá là có khả năng thu hồi đầy đủ cả nợ gốc và lãi đúng hạn.</w:t>
      </w:r>
    </w:p>
    <w:p w14:paraId="7D9B79AC"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Các cam kết ngoại bảng được tổ chức tín dụng, chi nhánh ngân hàng nước ngoài đánh giá là khách hàng có khả năng thực hiện đầy đủ nghĩa vụ theo cam kết.</w:t>
      </w:r>
    </w:p>
    <w:p w14:paraId="5097C461"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xml:space="preserve">b) Nhóm 2 (Nợ cần chú ý) bao gồm: </w:t>
      </w:r>
    </w:p>
    <w:p w14:paraId="695591AE"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Các khoản nợ được tổ chức tín dụng, chi nhánh ngân hàng nước ngoài đánh giá là có khả năng thu hồi đầy đủ cả nợ gốc và lãi nhưng có dấu hiệu khách hàng suy giảm khả năng trả nợ.</w:t>
      </w:r>
    </w:p>
    <w:p w14:paraId="12C2B541"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Các cam kết ngoại bảng được tổ chức tín dụng, chi nhánh ngân hàng nước ngoài đánh giá là khách hàng có khả năng thực hiện nghĩa vụ theo cam kết nhưng có dấu hiệu suy giảm khả năng thực hiện cam kết.</w:t>
      </w:r>
    </w:p>
    <w:p w14:paraId="52B02773"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xml:space="preserve">c) Nhóm 3 (Nợ dưới tiêu chuẩn) bao gồm: </w:t>
      </w:r>
    </w:p>
    <w:p w14:paraId="4AE64064"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Các khoản nợ được tổ chức tín dụng, chi nhánh ngân hàng nước ngoài đánh giá là không có khả năng thu hồi nợ gốc và lãi khi đến hạn. Các khoản nợ này được tổ chức tín dụng, chi nhánh ngân hàng nước ngoài đánh giá là có khả năng tổn thất.</w:t>
      </w:r>
    </w:p>
    <w:p w14:paraId="7E411F74"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Các cam kết ngoại bảng được tổ chức tín dụng, chi nhánh ngân hàng nước ngoài đánh giá là khách hàng không có khả năng thực hiện đầy đủ nghĩa vụ theo cam kết.</w:t>
      </w:r>
    </w:p>
    <w:p w14:paraId="2360B142"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Nợ phải phân loại vào nhóm 3 theo quy định tại khoản 4 Điều 8 Thông tư này.</w:t>
      </w:r>
    </w:p>
    <w:p w14:paraId="4F7CFE3A"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xml:space="preserve">d) Nhóm 4 (Nợ nghi ngờ) bao gồm: </w:t>
      </w:r>
    </w:p>
    <w:p w14:paraId="0931DB54"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lastRenderedPageBreak/>
        <w:t>Các khoản nợ được tổ chức tín dụng, chi nhánh ngân hàng nước ngoài đánh giá là có khả năng tổn thất cao.</w:t>
      </w:r>
    </w:p>
    <w:p w14:paraId="58B7DA57"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Các cam kết ngoại bảng mà khả năng khách hàng không thực hiện cam kết là rất cao.</w:t>
      </w:r>
    </w:p>
    <w:p w14:paraId="2040179F"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Nợ phải phân loại vào nhóm 4 theo quy định tại khoản 4 Điều 8 Thông tư này.</w:t>
      </w:r>
    </w:p>
    <w:p w14:paraId="55D6E456"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xml:space="preserve">đ) Nhóm 5 (Nợ có khả năng mất vốn) bao gồm: </w:t>
      </w:r>
    </w:p>
    <w:p w14:paraId="30028C36"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xml:space="preserve">Các khoản nợ được tổ chức tín dụng, chi nhánh ngân hàng nước ngoài đánh giá là không còn khả năng thu hồi, </w:t>
      </w:r>
      <w:r w:rsidR="00034E06" w:rsidRPr="00CC0061">
        <w:rPr>
          <w:rFonts w:ascii="Times New Roman" w:eastAsia="Times New Roman" w:hAnsi="Times New Roman" w:cs="Times New Roman"/>
          <w:sz w:val="28"/>
          <w:szCs w:val="28"/>
          <w:lang w:val="en-US"/>
        </w:rPr>
        <w:t xml:space="preserve">có khả năng </w:t>
      </w:r>
      <w:r w:rsidRPr="00CC0061">
        <w:rPr>
          <w:rFonts w:ascii="Times New Roman" w:eastAsia="Times New Roman" w:hAnsi="Times New Roman" w:cs="Times New Roman"/>
          <w:sz w:val="28"/>
          <w:szCs w:val="28"/>
        </w:rPr>
        <w:t>mất vốn.</w:t>
      </w:r>
    </w:p>
    <w:p w14:paraId="6CC9CCB4"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Các cam kết ngoại bảng mà khách hàng không còn khả năng thực hiện nghĩa vụ cam kết.</w:t>
      </w:r>
    </w:p>
    <w:p w14:paraId="14BF1479"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Nợ phải phân loại vào nhóm 5 theo quy định tại khoản 4 Điều 8 Thông tư này.</w:t>
      </w:r>
    </w:p>
    <w:p w14:paraId="01811BD6"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2. Tổ chức tín dụng, chi nhánh ngân hàng nước ngoài thực hiện phân loại nợ, cam kết ngoại bảng theo quy định tại khoản 1 Điều này phải đáp ứng đầy đủ các yêu cầu sau đây:</w:t>
      </w:r>
    </w:p>
    <w:p w14:paraId="511584DB"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a) Có Hệ thống xếp hạng tín dụng nội bộ phù hợp với hoạt động kinh doanh, đối tượng khách hàng, tính chất rủi ro của khoản nợ và có thời gian thử nghiệm tối thiểu 01</w:t>
      </w:r>
      <w:r w:rsidR="002C7746">
        <w:rPr>
          <w:rFonts w:ascii="Times New Roman" w:eastAsia="Times New Roman" w:hAnsi="Times New Roman" w:cs="Times New Roman"/>
          <w:sz w:val="28"/>
          <w:szCs w:val="28"/>
          <w:lang w:val="en-US"/>
        </w:rPr>
        <w:t xml:space="preserve"> (một)</w:t>
      </w:r>
      <w:r w:rsidRPr="00CC0061">
        <w:rPr>
          <w:rFonts w:ascii="Times New Roman" w:eastAsia="Times New Roman" w:hAnsi="Times New Roman" w:cs="Times New Roman"/>
          <w:sz w:val="28"/>
          <w:szCs w:val="28"/>
        </w:rPr>
        <w:t xml:space="preserve"> năm;</w:t>
      </w:r>
    </w:p>
    <w:p w14:paraId="4196B487"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b) Có chính sách dự phòng rủi ro theo quy định tại khoản 3 Điều 6 Thông tư này;</w:t>
      </w:r>
    </w:p>
    <w:p w14:paraId="4D9884B8"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c) Có chính sách quản lý rủi ro tín dụng, mô hình giám sát rủi ro tín dụng, phương pháp xác định, đo lường rủi ro tín dụng (trong đó bao gồm cách thức đánh giá về khả năng trả nợ của khách hàng theo hợp đồng tín dụng, tài sản bảo đảm, khả năng thu hồi nợ) và quản lý nợ;</w:t>
      </w:r>
    </w:p>
    <w:p w14:paraId="6F287356"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d) Phân định rõ ràng trách nhiệm, quyền hạn của Hội đồng quản trị, Hội đồng thành viên, Tổng giám đốc (Giám đốc) tr</w:t>
      </w:r>
      <w:r w:rsidR="002C7746">
        <w:rPr>
          <w:rFonts w:ascii="Times New Roman" w:eastAsia="Times New Roman" w:hAnsi="Times New Roman" w:cs="Times New Roman"/>
          <w:sz w:val="28"/>
          <w:szCs w:val="28"/>
        </w:rPr>
        <w:t>ong việc phê duyệt, thực hiện</w:t>
      </w:r>
      <w:r w:rsidR="002C7746">
        <w:rPr>
          <w:rFonts w:ascii="Times New Roman" w:eastAsia="Times New Roman" w:hAnsi="Times New Roman" w:cs="Times New Roman"/>
          <w:sz w:val="28"/>
          <w:szCs w:val="28"/>
          <w:lang w:val="en-US"/>
        </w:rPr>
        <w:t xml:space="preserve"> và</w:t>
      </w:r>
      <w:r w:rsidRPr="00CC0061">
        <w:rPr>
          <w:rFonts w:ascii="Times New Roman" w:eastAsia="Times New Roman" w:hAnsi="Times New Roman" w:cs="Times New Roman"/>
          <w:sz w:val="28"/>
          <w:szCs w:val="28"/>
        </w:rPr>
        <w:t xml:space="preserve"> kiểm tra thực hiện Hệ th</w:t>
      </w:r>
      <w:r w:rsidR="002C7746">
        <w:rPr>
          <w:rFonts w:ascii="Times New Roman" w:eastAsia="Times New Roman" w:hAnsi="Times New Roman" w:cs="Times New Roman"/>
          <w:sz w:val="28"/>
          <w:szCs w:val="28"/>
        </w:rPr>
        <w:t>ống xếp hạng tín dụng nội bộ</w:t>
      </w:r>
      <w:r w:rsidR="002C7746">
        <w:rPr>
          <w:rFonts w:ascii="Times New Roman" w:eastAsia="Times New Roman" w:hAnsi="Times New Roman" w:cs="Times New Roman"/>
          <w:sz w:val="28"/>
          <w:szCs w:val="28"/>
          <w:lang w:val="en-US"/>
        </w:rPr>
        <w:t xml:space="preserve">, </w:t>
      </w:r>
      <w:r w:rsidRPr="00CC0061">
        <w:rPr>
          <w:rFonts w:ascii="Times New Roman" w:eastAsia="Times New Roman" w:hAnsi="Times New Roman" w:cs="Times New Roman"/>
          <w:sz w:val="28"/>
          <w:szCs w:val="28"/>
        </w:rPr>
        <w:t>chính sách dự phòng</w:t>
      </w:r>
      <w:r w:rsidR="00034E06" w:rsidRPr="00CC0061">
        <w:rPr>
          <w:rFonts w:ascii="Times New Roman" w:eastAsia="Times New Roman" w:hAnsi="Times New Roman" w:cs="Times New Roman"/>
          <w:sz w:val="28"/>
          <w:szCs w:val="28"/>
          <w:lang w:val="en-US"/>
        </w:rPr>
        <w:t xml:space="preserve"> rủi ro</w:t>
      </w:r>
      <w:r w:rsidRPr="00CC0061">
        <w:rPr>
          <w:rFonts w:ascii="Times New Roman" w:eastAsia="Times New Roman" w:hAnsi="Times New Roman" w:cs="Times New Roman"/>
          <w:sz w:val="28"/>
          <w:szCs w:val="28"/>
        </w:rPr>
        <w:t xml:space="preserve"> của tổ chức tín dụng, chi nhánh ngân hàng nước ngoài và tính độc lập của các bộ phận quản lý rủi ro.</w:t>
      </w:r>
    </w:p>
    <w:p w14:paraId="7DDDAB0A"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xml:space="preserve">3. Tổ chức tín dụng, chi nhánh ngân hàng nước ngoài gửi trực tiếp hoặc </w:t>
      </w:r>
      <w:r w:rsidR="00A42E2F" w:rsidRPr="00CC0061">
        <w:rPr>
          <w:rFonts w:ascii="Times New Roman" w:eastAsia="Times New Roman" w:hAnsi="Times New Roman" w:cs="Times New Roman"/>
          <w:sz w:val="28"/>
          <w:szCs w:val="28"/>
          <w:lang w:val="en-US"/>
        </w:rPr>
        <w:t xml:space="preserve">qua dịch vụ bưu chính đến trụ sở chính </w:t>
      </w:r>
      <w:r w:rsidRPr="00CC0061">
        <w:rPr>
          <w:rFonts w:ascii="Times New Roman" w:eastAsia="Times New Roman" w:hAnsi="Times New Roman" w:cs="Times New Roman"/>
          <w:sz w:val="28"/>
          <w:szCs w:val="28"/>
        </w:rPr>
        <w:t>Ngân hàng Nhà nước</w:t>
      </w:r>
      <w:r w:rsidR="00A42E2F" w:rsidRPr="00CC0061">
        <w:rPr>
          <w:rFonts w:ascii="Times New Roman" w:eastAsia="Times New Roman" w:hAnsi="Times New Roman" w:cs="Times New Roman"/>
          <w:sz w:val="28"/>
          <w:szCs w:val="28"/>
          <w:lang w:val="en-US"/>
        </w:rPr>
        <w:t xml:space="preserve"> (Bộ phận Một cửa)</w:t>
      </w:r>
      <w:r w:rsidRPr="00CC0061">
        <w:rPr>
          <w:rFonts w:ascii="Times New Roman" w:eastAsia="Times New Roman" w:hAnsi="Times New Roman" w:cs="Times New Roman"/>
          <w:sz w:val="28"/>
          <w:szCs w:val="28"/>
        </w:rPr>
        <w:t xml:space="preserve"> 01</w:t>
      </w:r>
      <w:r w:rsidR="00F36A05">
        <w:rPr>
          <w:rFonts w:ascii="Times New Roman" w:eastAsia="Times New Roman" w:hAnsi="Times New Roman" w:cs="Times New Roman"/>
          <w:sz w:val="28"/>
          <w:szCs w:val="28"/>
          <w:lang w:val="en-US"/>
        </w:rPr>
        <w:t xml:space="preserve"> (một)</w:t>
      </w:r>
      <w:r w:rsidRPr="00CC0061">
        <w:rPr>
          <w:rFonts w:ascii="Times New Roman" w:eastAsia="Times New Roman" w:hAnsi="Times New Roman" w:cs="Times New Roman"/>
          <w:sz w:val="28"/>
          <w:szCs w:val="28"/>
        </w:rPr>
        <w:t xml:space="preserve"> bộ hồ sơ đề nghị Ngân hàng Nhà nước chấp thuận phân loại nợ theo khoản 1 Điều này và khoản 2 Điều 2 Thông tư này, gồm các văn bản sau:</w:t>
      </w:r>
    </w:p>
    <w:p w14:paraId="3BF7A820" w14:textId="77777777" w:rsidR="00133F17" w:rsidRPr="00CC0061" w:rsidRDefault="008842DA" w:rsidP="00DF2532">
      <w:pPr>
        <w:widowControl/>
        <w:shd w:val="clear" w:color="auto" w:fill="FFFFFF"/>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xml:space="preserve">a) Văn bản của chi nhánh ngân hàng nước ngoài đề nghị Ngân hàng Nhà nước chấp thuận cho phép áp dụng chính sách dự phòng rủi ro của ngân hàng nước ngoài theo quy định tại khoản 2 Điều 2 Thông tư này; </w:t>
      </w:r>
      <w:r w:rsidR="00D35BC2" w:rsidRPr="00CC0061">
        <w:rPr>
          <w:rFonts w:ascii="Times New Roman" w:eastAsia="Times New Roman" w:hAnsi="Times New Roman" w:cs="Times New Roman"/>
          <w:sz w:val="28"/>
          <w:szCs w:val="28"/>
          <w:lang w:val="en-US"/>
        </w:rPr>
        <w:t xml:space="preserve">hoặc </w:t>
      </w:r>
      <w:r w:rsidRPr="00CC0061">
        <w:rPr>
          <w:rFonts w:ascii="Times New Roman" w:eastAsia="Times New Roman" w:hAnsi="Times New Roman" w:cs="Times New Roman"/>
          <w:sz w:val="28"/>
          <w:szCs w:val="28"/>
        </w:rPr>
        <w:t xml:space="preserve">văn bản của tổ chức tín dụng, chi nhánh ngân hàng nước ngoài đề nghị Ngân hàng Nhà nước chấp thuận cho phép thực hiện phân loại nợ, cam kết ngoại bảng theo phương </w:t>
      </w:r>
      <w:r w:rsidRPr="00CC0061">
        <w:rPr>
          <w:rFonts w:ascii="Times New Roman" w:eastAsia="Times New Roman" w:hAnsi="Times New Roman" w:cs="Times New Roman"/>
          <w:sz w:val="28"/>
          <w:szCs w:val="28"/>
        </w:rPr>
        <w:lastRenderedPageBreak/>
        <w:t>pháp định tính quy định tại khoản 1 Điều này, trong đó phải chứng minh đáp ứng đủ các điều kiện quy định tại khoản 2 Điều này;</w:t>
      </w:r>
    </w:p>
    <w:p w14:paraId="26F9B974" w14:textId="77777777" w:rsidR="00133F17" w:rsidRPr="00CC0061" w:rsidRDefault="008842DA" w:rsidP="00DF2532">
      <w:pPr>
        <w:widowControl/>
        <w:shd w:val="clear" w:color="auto" w:fill="FFFFFF"/>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b) Bản sao chính sách dự phòng rủi ro của ngân hàng nước ngoài đối với trường hợp quy định t</w:t>
      </w:r>
      <w:r w:rsidR="00D35BC2" w:rsidRPr="00CC0061">
        <w:rPr>
          <w:rFonts w:ascii="Times New Roman" w:eastAsia="Times New Roman" w:hAnsi="Times New Roman" w:cs="Times New Roman"/>
          <w:sz w:val="28"/>
          <w:szCs w:val="28"/>
        </w:rPr>
        <w:t xml:space="preserve">ại khoản 2 Điều 2 Thông tư này; </w:t>
      </w:r>
      <w:r w:rsidRPr="00CC0061">
        <w:rPr>
          <w:rFonts w:ascii="Times New Roman" w:eastAsia="Times New Roman" w:hAnsi="Times New Roman" w:cs="Times New Roman"/>
          <w:sz w:val="28"/>
          <w:szCs w:val="28"/>
        </w:rPr>
        <w:t>bản sao hệ thống xếp hạng tín dụng nội bộ, chính sách dự phòng rủi ro, chính sách quản lý rủi ro tín dụng và các dự thảo văn bản hướng dẫn thực hiện phân loại nợ, cam kết ngoại bảng và trích lập dự phòng rủi ro của tổ chức tín dụng, chi nhánh ngân hàng nước ngoài đối với trường hợp quy định tại khoản 2 Điều này.</w:t>
      </w:r>
    </w:p>
    <w:p w14:paraId="554C6B36" w14:textId="77777777" w:rsidR="00133F17" w:rsidRPr="00CC0061" w:rsidRDefault="008842DA" w:rsidP="00DF2532">
      <w:pPr>
        <w:widowControl/>
        <w:shd w:val="clear" w:color="auto" w:fill="FFFFFF"/>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xml:space="preserve">4. Trong thời gian 30 (ba mươi) ngày kể từ ngày nhận đủ hồ sơ </w:t>
      </w:r>
      <w:r w:rsidR="00A42E2F" w:rsidRPr="00CC0061">
        <w:rPr>
          <w:rFonts w:ascii="Times New Roman" w:eastAsia="Times New Roman" w:hAnsi="Times New Roman" w:cs="Times New Roman"/>
          <w:sz w:val="28"/>
          <w:szCs w:val="28"/>
          <w:lang w:val="en-US"/>
        </w:rPr>
        <w:t xml:space="preserve">hợp lệ </w:t>
      </w:r>
      <w:r w:rsidRPr="00CC0061">
        <w:rPr>
          <w:rFonts w:ascii="Times New Roman" w:eastAsia="Times New Roman" w:hAnsi="Times New Roman" w:cs="Times New Roman"/>
          <w:sz w:val="28"/>
          <w:szCs w:val="28"/>
        </w:rPr>
        <w:t>theo quy định tại khoản 3 Điều này, Ngân hàng Nhà nước có văn bản chấp thuận cho tổ chức tín dụng, chi nhánh ngân hàng nước ngoài. Trường hợp không chấp thuận, Ngân hàng Nhà nước có văn bản nêu rõ lý do.</w:t>
      </w:r>
    </w:p>
    <w:p w14:paraId="6FB9C8D0"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xml:space="preserve">5. Hệ thống xếp hạng tín dụng nội bộ, chính sách dự phòng rủi ro, chính sách quản lý rủi ro tín dụng phải được tổ chức tín dụng, chi nhánh ngân hàng nước ngoài đánh giá lại hàng năm </w:t>
      </w:r>
      <w:r w:rsidR="00D35BC2" w:rsidRPr="00CC0061">
        <w:rPr>
          <w:rFonts w:ascii="Times New Roman" w:eastAsia="Times New Roman" w:hAnsi="Times New Roman" w:cs="Times New Roman"/>
          <w:sz w:val="28"/>
          <w:szCs w:val="28"/>
        </w:rPr>
        <w:t xml:space="preserve">theo quy định </w:t>
      </w:r>
      <w:r w:rsidR="00D35BC2" w:rsidRPr="00CC0061">
        <w:rPr>
          <w:rFonts w:ascii="Times New Roman" w:eastAsia="Times New Roman" w:hAnsi="Times New Roman" w:cs="Times New Roman"/>
          <w:sz w:val="28"/>
          <w:szCs w:val="28"/>
          <w:lang w:val="en-US"/>
        </w:rPr>
        <w:t>tại</w:t>
      </w:r>
      <w:r w:rsidR="0097079B" w:rsidRPr="00CC0061">
        <w:rPr>
          <w:rFonts w:ascii="Times New Roman" w:eastAsia="Times New Roman" w:hAnsi="Times New Roman" w:cs="Times New Roman"/>
          <w:sz w:val="28"/>
          <w:szCs w:val="28"/>
          <w:lang w:val="en-US"/>
        </w:rPr>
        <w:t xml:space="preserve"> Thông tư này và quy định của</w:t>
      </w:r>
      <w:r w:rsidRPr="00CC0061">
        <w:rPr>
          <w:rFonts w:ascii="Times New Roman" w:eastAsia="Times New Roman" w:hAnsi="Times New Roman" w:cs="Times New Roman"/>
          <w:sz w:val="28"/>
          <w:szCs w:val="28"/>
        </w:rPr>
        <w:t xml:space="preserve"> Ngân hàng Nhà nước về hệ thống kiểm soát nội bộ của ngân hàng thương mại, chi nhánh ngân hàng nước ngoài.</w:t>
      </w:r>
    </w:p>
    <w:p w14:paraId="4559B75E"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xml:space="preserve">6. Tổ chức tín dụng, chi nhánh ngân hàng nước ngoài được chấp thuận thực hiện phân loại nợ, cam kết ngoại bảng theo quy định tại khoản 1 Điều này phải đồng thời thực hiện phân loại nợ và cam kết ngoại bảng theo quy định tại Điều 10 Thông tư này. Trường hợp kết quả phân loại đối với một khoản nợ và cam kết ngoại bảng theo quy định tại Điều 10 Thông tư này và khoản 1 Điều này khác nhau thì khoản nợ, cam kết ngoại bảng phải được phân loại vào nhóm có mức độ rủi ro cao hơn. Thời gian tối thiểu phải thực hiện phân loại nợ và cam kết ngoại bảng đồng thời theo </w:t>
      </w:r>
      <w:r w:rsidRPr="00417509">
        <w:rPr>
          <w:rFonts w:ascii="Times New Roman" w:eastAsia="Times New Roman" w:hAnsi="Times New Roman" w:cs="Times New Roman"/>
          <w:sz w:val="28"/>
          <w:szCs w:val="28"/>
        </w:rPr>
        <w:t>Điều 10 và Điều 11 Thông tư này là 05 (năm) năm kể từ ngày được Ngân hàng Nhà nước</w:t>
      </w:r>
      <w:r w:rsidR="002C7746" w:rsidRPr="00417509">
        <w:rPr>
          <w:rFonts w:ascii="Times New Roman" w:eastAsia="Times New Roman" w:hAnsi="Times New Roman" w:cs="Times New Roman"/>
          <w:sz w:val="28"/>
          <w:szCs w:val="28"/>
          <w:lang w:val="en-US"/>
        </w:rPr>
        <w:t xml:space="preserve"> được</w:t>
      </w:r>
      <w:r w:rsidRPr="00417509">
        <w:rPr>
          <w:rFonts w:ascii="Times New Roman" w:eastAsia="Times New Roman" w:hAnsi="Times New Roman" w:cs="Times New Roman"/>
          <w:sz w:val="28"/>
          <w:szCs w:val="28"/>
        </w:rPr>
        <w:t xml:space="preserve"> chấp thuận.</w:t>
      </w:r>
    </w:p>
    <w:p w14:paraId="1DDC68E4" w14:textId="77777777" w:rsidR="00133F17" w:rsidRPr="00CC0061" w:rsidRDefault="008842DA" w:rsidP="00A42E2F">
      <w:pPr>
        <w:widowControl/>
        <w:spacing w:before="120" w:after="120" w:line="240" w:lineRule="auto"/>
        <w:ind w:left="-2" w:firstLineChars="236" w:firstLine="663"/>
        <w:jc w:val="center"/>
        <w:rPr>
          <w:rFonts w:ascii="Times New Roman" w:eastAsia="Times New Roman" w:hAnsi="Times New Roman" w:cs="Times New Roman"/>
          <w:sz w:val="28"/>
          <w:szCs w:val="28"/>
        </w:rPr>
      </w:pPr>
      <w:r w:rsidRPr="00CC0061">
        <w:rPr>
          <w:rFonts w:ascii="Times New Roman" w:eastAsia="Times New Roman" w:hAnsi="Times New Roman" w:cs="Times New Roman"/>
          <w:b/>
          <w:sz w:val="28"/>
          <w:szCs w:val="28"/>
        </w:rPr>
        <w:t>Mục 2</w:t>
      </w:r>
    </w:p>
    <w:p w14:paraId="2BB0C134" w14:textId="77777777" w:rsidR="00133F17" w:rsidRPr="00CC0061" w:rsidRDefault="008842DA" w:rsidP="00A42E2F">
      <w:pPr>
        <w:widowControl/>
        <w:spacing w:before="120" w:after="120" w:line="240" w:lineRule="auto"/>
        <w:ind w:left="-2" w:firstLineChars="236" w:firstLine="663"/>
        <w:jc w:val="center"/>
        <w:rPr>
          <w:rFonts w:ascii="Times New Roman" w:eastAsia="Times New Roman" w:hAnsi="Times New Roman" w:cs="Times New Roman"/>
          <w:sz w:val="28"/>
          <w:szCs w:val="28"/>
        </w:rPr>
      </w:pPr>
      <w:r w:rsidRPr="00CC0061">
        <w:rPr>
          <w:rFonts w:ascii="Times New Roman" w:eastAsia="Times New Roman" w:hAnsi="Times New Roman" w:cs="Times New Roman"/>
          <w:b/>
          <w:sz w:val="28"/>
          <w:szCs w:val="28"/>
        </w:rPr>
        <w:t xml:space="preserve">TRÍCH LẬP DỰ PHÒNG </w:t>
      </w:r>
      <w:bookmarkStart w:id="13" w:name="bookmark=id.1y810tw" w:colFirst="0" w:colLast="0"/>
      <w:bookmarkEnd w:id="13"/>
    </w:p>
    <w:p w14:paraId="36F0C195" w14:textId="77777777" w:rsidR="00133F17" w:rsidRPr="00CC0061" w:rsidRDefault="008842DA" w:rsidP="00DF2532">
      <w:pPr>
        <w:widowControl/>
        <w:spacing w:before="120" w:after="120" w:line="240" w:lineRule="auto"/>
        <w:ind w:left="-2" w:firstLineChars="202" w:firstLine="568"/>
        <w:jc w:val="both"/>
        <w:rPr>
          <w:rFonts w:ascii="Times New Roman" w:eastAsia="Times New Roman" w:hAnsi="Times New Roman" w:cs="Times New Roman"/>
          <w:sz w:val="28"/>
          <w:szCs w:val="28"/>
        </w:rPr>
      </w:pPr>
      <w:r w:rsidRPr="00CC0061">
        <w:rPr>
          <w:rFonts w:ascii="Times New Roman" w:eastAsia="Times New Roman" w:hAnsi="Times New Roman" w:cs="Times New Roman"/>
          <w:b/>
          <w:sz w:val="28"/>
          <w:szCs w:val="28"/>
        </w:rPr>
        <w:t>Điều 12. Mức trích lập dự phòng cụ thể</w:t>
      </w:r>
    </w:p>
    <w:p w14:paraId="4D3F34DD"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1. Số tiền dự phòng cụ thể phải trích đối với từng khách hàng được tính theo công thức sau:</w:t>
      </w:r>
    </w:p>
    <w:p w14:paraId="0CDBE3EC"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object w:dxaOrig="885" w:dyaOrig="675" w14:anchorId="47E4F7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0" o:spid="_x0000_i1025" type="#_x0000_t75" style="width:44.4pt;height:34.8pt;visibility:visible" o:ole="">
            <v:imagedata r:id="rId8" o:title=""/>
            <v:path o:extrusionok="t"/>
          </v:shape>
          <o:OLEObject Type="Embed" ProgID="Equation.3" ShapeID="_x0000_s0" DrawAspect="Content" ObjectID="_1689517077" r:id="rId9"/>
        </w:object>
      </w:r>
    </w:p>
    <w:p w14:paraId="6AC37BD8"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Trong đó:</w:t>
      </w:r>
    </w:p>
    <w:p w14:paraId="687306A0"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R: Tổng số tiền dự phòng cụ thể phải trích của từng khách hàng;</w:t>
      </w:r>
    </w:p>
    <w:p w14:paraId="1FD21D51"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xml:space="preserve">- </w:t>
      </w:r>
      <w:r w:rsidRPr="00CC0061">
        <w:rPr>
          <w:rFonts w:ascii="Times New Roman" w:eastAsia="Times New Roman" w:hAnsi="Times New Roman" w:cs="Times New Roman"/>
          <w:sz w:val="28"/>
          <w:szCs w:val="28"/>
        </w:rPr>
        <w:object w:dxaOrig="555" w:dyaOrig="675" w14:anchorId="3604AE99">
          <v:shape id="_x0000_i1026" type="#_x0000_t75" style="width:27.6pt;height:34.8pt;visibility:visible" o:ole="">
            <v:imagedata r:id="rId10" o:title=""/>
            <v:path o:extrusionok="t"/>
          </v:shape>
          <o:OLEObject Type="Embed" ProgID="Equation.3" ShapeID="_x0000_i1026" DrawAspect="Content" ObjectID="_1689517078" r:id="rId11"/>
        </w:object>
      </w:r>
      <w:r w:rsidRPr="00CC0061">
        <w:rPr>
          <w:rFonts w:ascii="Times New Roman" w:eastAsia="Times New Roman" w:hAnsi="Times New Roman" w:cs="Times New Roman"/>
          <w:sz w:val="28"/>
          <w:szCs w:val="28"/>
        </w:rPr>
        <w:t>: là tổng s</w:t>
      </w:r>
      <w:r w:rsidR="00D35BC2" w:rsidRPr="00CC0061">
        <w:rPr>
          <w:rFonts w:ascii="Times New Roman" w:eastAsia="Times New Roman" w:hAnsi="Times New Roman" w:cs="Times New Roman"/>
          <w:sz w:val="28"/>
          <w:szCs w:val="28"/>
        </w:rPr>
        <w:t xml:space="preserve">ố tiền dự phòng cụ thể của </w:t>
      </w:r>
      <w:r w:rsidRPr="00CC0061">
        <w:rPr>
          <w:rFonts w:ascii="Times New Roman" w:eastAsia="Times New Roman" w:hAnsi="Times New Roman" w:cs="Times New Roman"/>
          <w:sz w:val="28"/>
          <w:szCs w:val="28"/>
        </w:rPr>
        <w:t>khách hàng từ số dư nợ thứ 1 đến thứ n.</w:t>
      </w:r>
    </w:p>
    <w:p w14:paraId="5ABB6332"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Ri: là số tiền dự p</w:t>
      </w:r>
      <w:r w:rsidR="00D35BC2" w:rsidRPr="00CC0061">
        <w:rPr>
          <w:rFonts w:ascii="Times New Roman" w:eastAsia="Times New Roman" w:hAnsi="Times New Roman" w:cs="Times New Roman"/>
          <w:sz w:val="28"/>
          <w:szCs w:val="28"/>
        </w:rPr>
        <w:t xml:space="preserve">hòng cụ thể phải trích của </w:t>
      </w:r>
      <w:r w:rsidRPr="00CC0061">
        <w:rPr>
          <w:rFonts w:ascii="Times New Roman" w:eastAsia="Times New Roman" w:hAnsi="Times New Roman" w:cs="Times New Roman"/>
          <w:sz w:val="28"/>
          <w:szCs w:val="28"/>
        </w:rPr>
        <w:t>khách hàng đối với số dư nợ gốc của khoản nợ thứ i. Ri được xác định theo công thức:</w:t>
      </w:r>
    </w:p>
    <w:p w14:paraId="61D96CE6"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lastRenderedPageBreak/>
        <w:t>Ri = (Ai - Ci) x r</w:t>
      </w:r>
    </w:p>
    <w:p w14:paraId="6D33976F"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Trong đó:</w:t>
      </w:r>
    </w:p>
    <w:p w14:paraId="6F455C08" w14:textId="77777777" w:rsidR="00133F17" w:rsidRPr="00417509" w:rsidRDefault="008842DA" w:rsidP="00DF2532">
      <w:pPr>
        <w:widowControl/>
        <w:spacing w:before="120" w:after="120" w:line="240" w:lineRule="auto"/>
        <w:ind w:left="-2" w:firstLineChars="202" w:firstLine="568"/>
        <w:jc w:val="both"/>
        <w:rPr>
          <w:rFonts w:ascii="Times New Roman" w:eastAsia="Times New Roman" w:hAnsi="Times New Roman" w:cs="Times New Roman"/>
          <w:sz w:val="28"/>
          <w:szCs w:val="28"/>
          <w:lang w:val="en-US"/>
        </w:rPr>
      </w:pPr>
      <w:r w:rsidRPr="00CC0061">
        <w:rPr>
          <w:rFonts w:ascii="Times New Roman" w:eastAsia="Times New Roman" w:hAnsi="Times New Roman" w:cs="Times New Roman"/>
          <w:b/>
          <w:sz w:val="28"/>
          <w:szCs w:val="28"/>
        </w:rPr>
        <w:t>Ai:</w:t>
      </w:r>
      <w:r w:rsidR="00417509">
        <w:rPr>
          <w:rFonts w:ascii="Times New Roman" w:eastAsia="Times New Roman" w:hAnsi="Times New Roman" w:cs="Times New Roman"/>
          <w:sz w:val="28"/>
          <w:szCs w:val="28"/>
        </w:rPr>
        <w:t xml:space="preserve"> Số dư nợ gốc thứ i</w:t>
      </w:r>
      <w:r w:rsidR="00417509">
        <w:rPr>
          <w:rFonts w:ascii="Times New Roman" w:eastAsia="Times New Roman" w:hAnsi="Times New Roman" w:cs="Times New Roman"/>
          <w:sz w:val="28"/>
          <w:szCs w:val="28"/>
          <w:lang w:val="en-US"/>
        </w:rPr>
        <w:t>.</w:t>
      </w:r>
    </w:p>
    <w:p w14:paraId="52E88F86" w14:textId="77777777" w:rsidR="00133F17" w:rsidRPr="00417509" w:rsidRDefault="008842DA" w:rsidP="00DF2532">
      <w:pPr>
        <w:widowControl/>
        <w:spacing w:before="120" w:after="120" w:line="240" w:lineRule="auto"/>
        <w:ind w:left="-2" w:firstLineChars="202" w:firstLine="568"/>
        <w:jc w:val="both"/>
        <w:rPr>
          <w:rFonts w:ascii="Times New Roman" w:eastAsia="Times New Roman" w:hAnsi="Times New Roman" w:cs="Times New Roman"/>
          <w:sz w:val="28"/>
          <w:szCs w:val="28"/>
          <w:lang w:val="en-US"/>
        </w:rPr>
      </w:pPr>
      <w:r w:rsidRPr="00CC0061">
        <w:rPr>
          <w:rFonts w:ascii="Times New Roman" w:eastAsia="Times New Roman" w:hAnsi="Times New Roman" w:cs="Times New Roman"/>
          <w:b/>
          <w:sz w:val="28"/>
          <w:szCs w:val="28"/>
        </w:rPr>
        <w:t>Ci</w:t>
      </w:r>
      <w:r w:rsidRPr="00CC0061">
        <w:rPr>
          <w:rFonts w:ascii="Times New Roman" w:eastAsia="Times New Roman" w:hAnsi="Times New Roman" w:cs="Times New Roman"/>
          <w:sz w:val="28"/>
          <w:szCs w:val="28"/>
        </w:rPr>
        <w:t xml:space="preserve">: Giá trị khấu trừ của tài sản bảo đảm, tài sản cho thuê tài chính, công cụ chuyển nhượng, giấy tờ có giá khác trong hoạt động chiết khấu, mua bán lại trái phiếu Chính phủ (sau đây gọi chung là tài </w:t>
      </w:r>
      <w:r w:rsidR="00417509">
        <w:rPr>
          <w:rFonts w:ascii="Times New Roman" w:eastAsia="Times New Roman" w:hAnsi="Times New Roman" w:cs="Times New Roman"/>
          <w:sz w:val="28"/>
          <w:szCs w:val="28"/>
        </w:rPr>
        <w:t>sản bảo đảm) của khoản nợ thứ i</w:t>
      </w:r>
      <w:r w:rsidR="00417509">
        <w:rPr>
          <w:rFonts w:ascii="Times New Roman" w:eastAsia="Times New Roman" w:hAnsi="Times New Roman" w:cs="Times New Roman"/>
          <w:sz w:val="28"/>
          <w:szCs w:val="28"/>
          <w:lang w:val="en-US"/>
        </w:rPr>
        <w:t>.</w:t>
      </w:r>
    </w:p>
    <w:p w14:paraId="3ED6E1D2" w14:textId="77777777" w:rsidR="00133F17" w:rsidRPr="00CC0061" w:rsidRDefault="008842DA" w:rsidP="00DF2532">
      <w:pPr>
        <w:widowControl/>
        <w:spacing w:before="120" w:after="120" w:line="240" w:lineRule="auto"/>
        <w:ind w:left="-2" w:firstLineChars="202" w:firstLine="568"/>
        <w:jc w:val="both"/>
        <w:rPr>
          <w:rFonts w:ascii="Times New Roman" w:eastAsia="Times New Roman" w:hAnsi="Times New Roman" w:cs="Times New Roman"/>
          <w:sz w:val="28"/>
          <w:szCs w:val="28"/>
        </w:rPr>
      </w:pPr>
      <w:r w:rsidRPr="00CC0061">
        <w:rPr>
          <w:rFonts w:ascii="Times New Roman" w:eastAsia="Times New Roman" w:hAnsi="Times New Roman" w:cs="Times New Roman"/>
          <w:b/>
          <w:sz w:val="28"/>
          <w:szCs w:val="28"/>
        </w:rPr>
        <w:t>r</w:t>
      </w:r>
      <w:r w:rsidRPr="00CC0061">
        <w:rPr>
          <w:rFonts w:ascii="Times New Roman" w:eastAsia="Times New Roman" w:hAnsi="Times New Roman" w:cs="Times New Roman"/>
          <w:sz w:val="28"/>
          <w:szCs w:val="28"/>
        </w:rPr>
        <w:t>: Tỷ lệ trích lập dự phòng cụ thể theo nhóm được quy định tại khoản 2 Điều này.</w:t>
      </w:r>
    </w:p>
    <w:p w14:paraId="54A1FC78"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Trường hợp Ci &gt; Ai thì Ri được tính bằng 0</w:t>
      </w:r>
      <w:r w:rsidR="00A87C8D">
        <w:rPr>
          <w:rFonts w:ascii="Times New Roman" w:eastAsia="Times New Roman" w:hAnsi="Times New Roman" w:cs="Times New Roman"/>
          <w:sz w:val="28"/>
          <w:szCs w:val="28"/>
          <w:lang w:val="en-US"/>
        </w:rPr>
        <w:t xml:space="preserve"> (không)</w:t>
      </w:r>
      <w:r w:rsidRPr="00CC0061">
        <w:rPr>
          <w:rFonts w:ascii="Times New Roman" w:eastAsia="Times New Roman" w:hAnsi="Times New Roman" w:cs="Times New Roman"/>
          <w:sz w:val="28"/>
          <w:szCs w:val="28"/>
        </w:rPr>
        <w:t>.</w:t>
      </w:r>
    </w:p>
    <w:p w14:paraId="655F76DC"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2. Tỷ lệ trích lập dự phòng cụ thể đối với từng nhóm nợ như sau:</w:t>
      </w:r>
    </w:p>
    <w:p w14:paraId="1A5FCC03"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a) Nhóm 1: 0%;</w:t>
      </w:r>
    </w:p>
    <w:p w14:paraId="68224CC1"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b) Nhóm 2: 5%;</w:t>
      </w:r>
    </w:p>
    <w:p w14:paraId="06E774C3"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c) Nhóm 3: 20%;</w:t>
      </w:r>
    </w:p>
    <w:p w14:paraId="78771ED9"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xml:space="preserve">d) Nhóm 4: 50%; </w:t>
      </w:r>
    </w:p>
    <w:p w14:paraId="0CE76C03"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đ) Nhóm 5: 100%.</w:t>
      </w:r>
    </w:p>
    <w:p w14:paraId="25276843"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xml:space="preserve">3. Tài sản bảo đảm để khấu trừ khi tính số tiền dự phòng cụ thể </w:t>
      </w:r>
      <w:r w:rsidRPr="00A87C8D">
        <w:rPr>
          <w:rFonts w:ascii="Times New Roman" w:eastAsia="Times New Roman" w:hAnsi="Times New Roman" w:cs="Times New Roman"/>
          <w:sz w:val="28"/>
          <w:szCs w:val="28"/>
        </w:rPr>
        <w:t>(R)</w:t>
      </w:r>
      <w:r w:rsidRPr="00CC0061">
        <w:rPr>
          <w:rFonts w:ascii="Times New Roman" w:eastAsia="Times New Roman" w:hAnsi="Times New Roman" w:cs="Times New Roman"/>
          <w:sz w:val="28"/>
          <w:szCs w:val="28"/>
        </w:rPr>
        <w:t xml:space="preserve"> quy định tại khoản 1 Điề</w:t>
      </w:r>
      <w:r w:rsidR="006E2AEC" w:rsidRPr="00CC0061">
        <w:rPr>
          <w:rFonts w:ascii="Times New Roman" w:eastAsia="Times New Roman" w:hAnsi="Times New Roman" w:cs="Times New Roman"/>
          <w:sz w:val="28"/>
          <w:szCs w:val="28"/>
        </w:rPr>
        <w:t xml:space="preserve">u này phải đáp ứng </w:t>
      </w:r>
      <w:r w:rsidRPr="00CC0061">
        <w:rPr>
          <w:rFonts w:ascii="Times New Roman" w:eastAsia="Times New Roman" w:hAnsi="Times New Roman" w:cs="Times New Roman"/>
          <w:sz w:val="28"/>
          <w:szCs w:val="28"/>
        </w:rPr>
        <w:t>các điều kiện sau:</w:t>
      </w:r>
    </w:p>
    <w:p w14:paraId="73D79C84"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xml:space="preserve">a) Tổ chức tín dụng, chi nhánh ngân hàng nước ngoài có quyền xử lý tài sản bảo đảm theo hợp đồng bảo đảm và theo quy định của pháp luật khi khách hàng không thực hiện </w:t>
      </w:r>
      <w:r w:rsidR="00D35BC2" w:rsidRPr="00CC0061">
        <w:rPr>
          <w:rFonts w:ascii="Times New Roman" w:eastAsia="Times New Roman" w:hAnsi="Times New Roman" w:cs="Times New Roman"/>
          <w:sz w:val="28"/>
          <w:szCs w:val="28"/>
        </w:rPr>
        <w:t>nghĩa vụ của mình theo</w:t>
      </w:r>
      <w:r w:rsidRPr="00CC0061">
        <w:rPr>
          <w:rFonts w:ascii="Times New Roman" w:eastAsia="Times New Roman" w:hAnsi="Times New Roman" w:cs="Times New Roman"/>
          <w:sz w:val="28"/>
          <w:szCs w:val="28"/>
        </w:rPr>
        <w:t xml:space="preserve"> thỏa thuận;</w:t>
      </w:r>
    </w:p>
    <w:p w14:paraId="319C6D6A"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b) Thời gian xử lý tài sản bảo đảm theo dự kiến không quá 01 (một) năm đối với tài sản bảo đảm không phải là bất động sản và không quá 02 (hai) năm đối với tài sản bảo đảm là bất động sản, kể từ khi tổ chức tín dụng, chi nhánh ngân hàng nước ngoài có quyền thực hiện xử lý tài sản bảo đảm;</w:t>
      </w:r>
    </w:p>
    <w:p w14:paraId="591E3FEB"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xml:space="preserve">c) Tài sản bảo đảm phải </w:t>
      </w:r>
      <w:r w:rsidR="002435F6" w:rsidRPr="00CC0061">
        <w:rPr>
          <w:rFonts w:ascii="Times New Roman" w:eastAsia="Times New Roman" w:hAnsi="Times New Roman" w:cs="Times New Roman"/>
          <w:sz w:val="28"/>
          <w:szCs w:val="28"/>
          <w:lang w:val="en-US"/>
        </w:rPr>
        <w:t>tuân thủ</w:t>
      </w:r>
      <w:r w:rsidRPr="00CC0061">
        <w:rPr>
          <w:rFonts w:ascii="Times New Roman" w:eastAsia="Times New Roman" w:hAnsi="Times New Roman" w:cs="Times New Roman"/>
          <w:sz w:val="28"/>
          <w:szCs w:val="28"/>
        </w:rPr>
        <w:t xml:space="preserve"> quy định của pháp luật về giao dịch bảo đảm và pháp luật khác có liên quan;</w:t>
      </w:r>
    </w:p>
    <w:p w14:paraId="7886EDFD"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d) Trường hợp tài s</w:t>
      </w:r>
      <w:r w:rsidR="006E2AEC" w:rsidRPr="00CC0061">
        <w:rPr>
          <w:rFonts w:ascii="Times New Roman" w:eastAsia="Times New Roman" w:hAnsi="Times New Roman" w:cs="Times New Roman"/>
          <w:sz w:val="28"/>
          <w:szCs w:val="28"/>
        </w:rPr>
        <w:t xml:space="preserve">ản bảo đảm không đáp ứng </w:t>
      </w:r>
      <w:r w:rsidRPr="00CC0061">
        <w:rPr>
          <w:rFonts w:ascii="Times New Roman" w:eastAsia="Times New Roman" w:hAnsi="Times New Roman" w:cs="Times New Roman"/>
          <w:sz w:val="28"/>
          <w:szCs w:val="28"/>
        </w:rPr>
        <w:t>các điều kiệ</w:t>
      </w:r>
      <w:r w:rsidR="00A87C8D">
        <w:rPr>
          <w:rFonts w:ascii="Times New Roman" w:eastAsia="Times New Roman" w:hAnsi="Times New Roman" w:cs="Times New Roman"/>
          <w:sz w:val="28"/>
          <w:szCs w:val="28"/>
        </w:rPr>
        <w:t xml:space="preserve">n quy định tại điểm a, b, c </w:t>
      </w:r>
      <w:r w:rsidR="00A87C8D">
        <w:rPr>
          <w:rFonts w:ascii="Times New Roman" w:eastAsia="Times New Roman" w:hAnsi="Times New Roman" w:cs="Times New Roman"/>
          <w:sz w:val="28"/>
          <w:szCs w:val="28"/>
          <w:lang w:val="en-US"/>
        </w:rPr>
        <w:t>K</w:t>
      </w:r>
      <w:r w:rsidRPr="00CC0061">
        <w:rPr>
          <w:rFonts w:ascii="Times New Roman" w:eastAsia="Times New Roman" w:hAnsi="Times New Roman" w:cs="Times New Roman"/>
          <w:sz w:val="28"/>
          <w:szCs w:val="28"/>
        </w:rPr>
        <w:t>hoản này thì giá trị khấu trừ của tài sản bảo đảm đó phải coi bằng</w:t>
      </w:r>
      <w:r w:rsidR="00A87C8D">
        <w:rPr>
          <w:rFonts w:ascii="Times New Roman" w:eastAsia="Times New Roman" w:hAnsi="Times New Roman" w:cs="Times New Roman"/>
          <w:sz w:val="28"/>
          <w:szCs w:val="28"/>
          <w:lang w:val="en-US"/>
        </w:rPr>
        <w:t xml:space="preserve"> 0</w:t>
      </w:r>
      <w:r w:rsidRPr="00CC0061">
        <w:rPr>
          <w:rFonts w:ascii="Times New Roman" w:eastAsia="Times New Roman" w:hAnsi="Times New Roman" w:cs="Times New Roman"/>
          <w:sz w:val="28"/>
          <w:szCs w:val="28"/>
        </w:rPr>
        <w:t> </w:t>
      </w:r>
      <w:r w:rsidR="00A87C8D">
        <w:rPr>
          <w:rFonts w:ascii="Times New Roman" w:eastAsia="Times New Roman" w:hAnsi="Times New Roman" w:cs="Times New Roman"/>
          <w:sz w:val="28"/>
          <w:szCs w:val="28"/>
          <w:lang w:val="en-US"/>
        </w:rPr>
        <w:t>(</w:t>
      </w:r>
      <w:r w:rsidRPr="00CC0061">
        <w:rPr>
          <w:rFonts w:ascii="Times New Roman" w:eastAsia="Times New Roman" w:hAnsi="Times New Roman" w:cs="Times New Roman"/>
          <w:sz w:val="28"/>
          <w:szCs w:val="28"/>
        </w:rPr>
        <w:t>không</w:t>
      </w:r>
      <w:r w:rsidR="00A87C8D">
        <w:rPr>
          <w:rFonts w:ascii="Times New Roman" w:eastAsia="Times New Roman" w:hAnsi="Times New Roman" w:cs="Times New Roman"/>
          <w:sz w:val="28"/>
          <w:szCs w:val="28"/>
          <w:lang w:val="en-US"/>
        </w:rPr>
        <w:t>)</w:t>
      </w:r>
      <w:r w:rsidRPr="00CC0061">
        <w:rPr>
          <w:rFonts w:ascii="Times New Roman" w:eastAsia="Times New Roman" w:hAnsi="Times New Roman" w:cs="Times New Roman"/>
          <w:sz w:val="28"/>
          <w:szCs w:val="28"/>
        </w:rPr>
        <w:t>.</w:t>
      </w:r>
    </w:p>
    <w:p w14:paraId="6B64F805"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4. Giá trị khấu trừ của tài sản bảo đảm được xác định bằng tích số giữa giá trị tài sản bảo đảm quy định tại khoản 5 Điều này với tỷ lệ khấu trừ đối với từng loại tài sản bảo đảm quy định tại khoản 6 Điều này.</w:t>
      </w:r>
    </w:p>
    <w:p w14:paraId="1B8BD46D"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Tổ chức tín dụng, chi nhánh ngân hàng nước ngoài tự xác định tỷ lệ khấu trừ đối với từng loại tài sản bảo đảm trên cơ sở đánh giá khả năng thu hồi khi xử lý tài sản bảo đảm đó nhưng không được vượt quá tỷ lệ khấu trừ tối đa đối với từng loại tài sản bảo đảm quy định tại khoản 6 Điều này.</w:t>
      </w:r>
    </w:p>
    <w:p w14:paraId="5E610FC5"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5. Giá trị tài sản bảo đảm để tính khấu trừ khi trích lập dự phòng rủi ro được xác định như sau:</w:t>
      </w:r>
    </w:p>
    <w:p w14:paraId="4CA6DEEB"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lang w:val="en-US"/>
        </w:rPr>
      </w:pPr>
      <w:r w:rsidRPr="00CC0061">
        <w:rPr>
          <w:rFonts w:ascii="Times New Roman" w:eastAsia="Times New Roman" w:hAnsi="Times New Roman" w:cs="Times New Roman"/>
          <w:sz w:val="28"/>
          <w:szCs w:val="28"/>
        </w:rPr>
        <w:lastRenderedPageBreak/>
        <w:t>a) Vàng miếng: Giá mua vào tại trụ sở chính của doanh nghiệp, tổ chức tín dụng sở hữu nhãn hiệu vàng miếng tại thời điểm cuối ngày của ngày có giao dịch trước</w:t>
      </w:r>
      <w:r w:rsidR="00B40011" w:rsidRPr="00CC0061">
        <w:rPr>
          <w:rFonts w:ascii="Times New Roman" w:eastAsia="Times New Roman" w:hAnsi="Times New Roman" w:cs="Times New Roman"/>
          <w:sz w:val="28"/>
          <w:szCs w:val="28"/>
        </w:rPr>
        <w:t xml:space="preserve"> ngày trích lập dự phòng cụ thể</w:t>
      </w:r>
      <w:r w:rsidR="00B40011" w:rsidRPr="00CC0061">
        <w:rPr>
          <w:rFonts w:ascii="Times New Roman" w:eastAsia="Times New Roman" w:hAnsi="Times New Roman" w:cs="Times New Roman"/>
          <w:sz w:val="28"/>
          <w:szCs w:val="28"/>
          <w:lang w:val="en-US"/>
        </w:rPr>
        <w:t>;</w:t>
      </w:r>
    </w:p>
    <w:p w14:paraId="38C2BBDB" w14:textId="77777777" w:rsidR="00133F17" w:rsidRPr="00CC0061" w:rsidRDefault="008842DA" w:rsidP="00DF2532">
      <w:pPr>
        <w:widowControl/>
        <w:pBdr>
          <w:top w:val="nil"/>
          <w:left w:val="nil"/>
          <w:bottom w:val="nil"/>
          <w:right w:val="nil"/>
          <w:between w:val="nil"/>
        </w:pBdr>
        <w:shd w:val="clear" w:color="auto" w:fill="FFFFFF"/>
        <w:spacing w:before="120" w:after="120" w:line="240" w:lineRule="auto"/>
        <w:ind w:left="-2" w:firstLineChars="202" w:firstLine="566"/>
        <w:jc w:val="both"/>
        <w:rPr>
          <w:rFonts w:ascii="Times New Roman" w:eastAsia="Times New Roman" w:hAnsi="Times New Roman" w:cs="Times New Roman"/>
          <w:sz w:val="28"/>
          <w:szCs w:val="28"/>
          <w:lang w:val="en-US"/>
        </w:rPr>
      </w:pPr>
      <w:r w:rsidRPr="00CC0061">
        <w:rPr>
          <w:rFonts w:ascii="Times New Roman" w:eastAsia="Times New Roman" w:hAnsi="Times New Roman" w:cs="Times New Roman"/>
          <w:sz w:val="28"/>
          <w:szCs w:val="28"/>
        </w:rPr>
        <w:t xml:space="preserve">b) Chứng khoán đã niêm yết (bao gồm cả cổ phiếu, chứng chỉ quỹ, chứng khoán phái sinh, chứng quyền </w:t>
      </w:r>
      <w:r w:rsidRPr="00723C55">
        <w:rPr>
          <w:rFonts w:ascii="Times New Roman" w:eastAsia="Times New Roman" w:hAnsi="Times New Roman" w:cs="Times New Roman"/>
          <w:sz w:val="28"/>
          <w:szCs w:val="28"/>
        </w:rPr>
        <w:t>có bảo</w:t>
      </w:r>
      <w:r w:rsidR="00723C55" w:rsidRPr="00723C55">
        <w:rPr>
          <w:rFonts w:ascii="Times New Roman" w:eastAsia="Times New Roman" w:hAnsi="Times New Roman" w:cs="Times New Roman"/>
          <w:sz w:val="28"/>
          <w:szCs w:val="28"/>
          <w:lang w:val="en-US"/>
        </w:rPr>
        <w:t xml:space="preserve"> đảm</w:t>
      </w:r>
      <w:r w:rsidRPr="00CC0061">
        <w:rPr>
          <w:rFonts w:ascii="Times New Roman" w:eastAsia="Times New Roman" w:hAnsi="Times New Roman" w:cs="Times New Roman"/>
          <w:sz w:val="28"/>
          <w:szCs w:val="28"/>
        </w:rPr>
        <w:t xml:space="preserve"> đã niêm yết): Giá đóng cửa tại ngày gần nhất có giao dịch trước ngày trích lập dự phòng cụ thể. Trường hợp chứng khoán đã niêm yết trên thị trường mà không có giao dịch trong vòng 30</w:t>
      </w:r>
      <w:r w:rsidR="00723C55">
        <w:rPr>
          <w:rFonts w:ascii="Times New Roman" w:eastAsia="Times New Roman" w:hAnsi="Times New Roman" w:cs="Times New Roman"/>
          <w:sz w:val="28"/>
          <w:szCs w:val="28"/>
          <w:lang w:val="en-US"/>
        </w:rPr>
        <w:t xml:space="preserve"> (ba mươi)</w:t>
      </w:r>
      <w:r w:rsidRPr="00CC0061">
        <w:rPr>
          <w:rFonts w:ascii="Times New Roman" w:eastAsia="Times New Roman" w:hAnsi="Times New Roman" w:cs="Times New Roman"/>
          <w:sz w:val="28"/>
          <w:szCs w:val="28"/>
        </w:rPr>
        <w:t xml:space="preserve"> ngày trước ngày trích lập dự phòng và trường hợp tại ngày trích lập dự phòng, chứng khoán bị hủy niêm yết hoặc bị đình chỉ giao dịch hoặc bị ngừng giao dịch, thì tổ chức tín dụng, chi nhánh ngân hàng</w:t>
      </w:r>
      <w:r w:rsidR="00723C55">
        <w:rPr>
          <w:rFonts w:ascii="Times New Roman" w:eastAsia="Times New Roman" w:hAnsi="Times New Roman" w:cs="Times New Roman"/>
          <w:sz w:val="28"/>
          <w:szCs w:val="28"/>
          <w:lang w:val="en-US"/>
        </w:rPr>
        <w:t xml:space="preserve"> nước ngoài</w:t>
      </w:r>
      <w:r w:rsidRPr="00CC0061">
        <w:rPr>
          <w:rFonts w:ascii="Times New Roman" w:eastAsia="Times New Roman" w:hAnsi="Times New Roman" w:cs="Times New Roman"/>
          <w:sz w:val="28"/>
          <w:szCs w:val="28"/>
        </w:rPr>
        <w:t xml:space="preserve"> xác định giá trị tài sản bảo đảm theo</w:t>
      </w:r>
      <w:r w:rsidR="00F91FB0">
        <w:rPr>
          <w:rFonts w:ascii="Times New Roman" w:eastAsia="Times New Roman" w:hAnsi="Times New Roman" w:cs="Times New Roman"/>
          <w:sz w:val="28"/>
          <w:szCs w:val="28"/>
        </w:rPr>
        <w:t xml:space="preserve"> quy định tại điểm e K</w:t>
      </w:r>
      <w:r w:rsidR="00B40011" w:rsidRPr="00CC0061">
        <w:rPr>
          <w:rFonts w:ascii="Times New Roman" w:eastAsia="Times New Roman" w:hAnsi="Times New Roman" w:cs="Times New Roman"/>
          <w:sz w:val="28"/>
          <w:szCs w:val="28"/>
        </w:rPr>
        <w:t>hoản này;</w:t>
      </w:r>
    </w:p>
    <w:p w14:paraId="21AD9C46" w14:textId="77777777" w:rsidR="00133F17" w:rsidRPr="00CC0061" w:rsidRDefault="008842DA" w:rsidP="00DF2532">
      <w:pPr>
        <w:widowControl/>
        <w:pBdr>
          <w:top w:val="nil"/>
          <w:left w:val="nil"/>
          <w:bottom w:val="nil"/>
          <w:right w:val="nil"/>
          <w:between w:val="nil"/>
        </w:pBdr>
        <w:shd w:val="clear" w:color="auto" w:fill="FFFFFF"/>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c) Cổ phiếu đã đăng ký giao dịch trên hệ thống giao dịch Upcom: Giá tham chiếu tại ngày giao dịch liền kề gần nhất trước ngày trích lập dự phòng rủi ro do Sở Giao dịch chứng khoán công bố. Trường hợp cổ phiếu của công ty cổ phần đã đăng ký giao dịch trên hệ thống giao dịch Upcom mà không có giao dịch trong vòng 30</w:t>
      </w:r>
      <w:r w:rsidR="00723C55">
        <w:rPr>
          <w:rFonts w:ascii="Times New Roman" w:eastAsia="Times New Roman" w:hAnsi="Times New Roman" w:cs="Times New Roman"/>
          <w:sz w:val="28"/>
          <w:szCs w:val="28"/>
          <w:lang w:val="en-US"/>
        </w:rPr>
        <w:t xml:space="preserve"> (ba mươi)</w:t>
      </w:r>
      <w:r w:rsidRPr="00CC0061">
        <w:rPr>
          <w:rFonts w:ascii="Times New Roman" w:eastAsia="Times New Roman" w:hAnsi="Times New Roman" w:cs="Times New Roman"/>
          <w:sz w:val="28"/>
          <w:szCs w:val="28"/>
        </w:rPr>
        <w:t xml:space="preserve"> ngày trước ngày trích lập dự phòng cụ thể và trường hợp tại ngày trích lập dự phòng, cổ phiếu bị hủy niêm yết hoặc bị đình chỉ giao dịch hoặc bị ngừng giao dịch, thì tổ chức tín dụng, chi nhánh ngân hàng</w:t>
      </w:r>
      <w:r w:rsidR="00723C55">
        <w:rPr>
          <w:rFonts w:ascii="Times New Roman" w:eastAsia="Times New Roman" w:hAnsi="Times New Roman" w:cs="Times New Roman"/>
          <w:sz w:val="28"/>
          <w:szCs w:val="28"/>
          <w:lang w:val="en-US"/>
        </w:rPr>
        <w:t xml:space="preserve"> nước ngoài</w:t>
      </w:r>
      <w:r w:rsidRPr="00CC0061">
        <w:rPr>
          <w:rFonts w:ascii="Times New Roman" w:eastAsia="Times New Roman" w:hAnsi="Times New Roman" w:cs="Times New Roman"/>
          <w:sz w:val="28"/>
          <w:szCs w:val="28"/>
        </w:rPr>
        <w:t xml:space="preserve"> xác định giá trị tài sản bả</w:t>
      </w:r>
      <w:r w:rsidR="00F91FB0">
        <w:rPr>
          <w:rFonts w:ascii="Times New Roman" w:eastAsia="Times New Roman" w:hAnsi="Times New Roman" w:cs="Times New Roman"/>
          <w:sz w:val="28"/>
          <w:szCs w:val="28"/>
        </w:rPr>
        <w:t>o đảm theo quy định tại điểm e K</w:t>
      </w:r>
      <w:r w:rsidRPr="00CC0061">
        <w:rPr>
          <w:rFonts w:ascii="Times New Roman" w:eastAsia="Times New Roman" w:hAnsi="Times New Roman" w:cs="Times New Roman"/>
          <w:sz w:val="28"/>
          <w:szCs w:val="28"/>
        </w:rPr>
        <w:t>hoản này;</w:t>
      </w:r>
    </w:p>
    <w:p w14:paraId="1C50E97F"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d) Trái phiếu Chính phủ được niêm yết trên Sở giao dịch chứng khoán: Giá bình quân các mức giá</w:t>
      </w:r>
      <w:r w:rsidR="00D94A95" w:rsidRPr="00CC0061">
        <w:rPr>
          <w:rFonts w:ascii="Times New Roman" w:eastAsia="Times New Roman" w:hAnsi="Times New Roman" w:cs="Times New Roman"/>
          <w:sz w:val="28"/>
          <w:szCs w:val="28"/>
        </w:rPr>
        <w:t xml:space="preserve"> giao dịch trong phiên chào giá cam kết chắc chắn </w:t>
      </w:r>
      <w:r w:rsidRPr="00CC0061">
        <w:rPr>
          <w:rFonts w:ascii="Times New Roman" w:eastAsia="Times New Roman" w:hAnsi="Times New Roman" w:cs="Times New Roman"/>
          <w:sz w:val="28"/>
          <w:szCs w:val="28"/>
        </w:rPr>
        <w:t>theo quy định của Chính phủ về phát hành, đăng ký, lưu ký, niêm yết và giao dịch công cụ nợ của Chính phủ trên thị trường chứng khoán; các văn bản hướng dẫn của Bộ Tài chính và các văn bản sửa đổi</w:t>
      </w:r>
      <w:r w:rsidR="00B40011" w:rsidRPr="00CC0061">
        <w:rPr>
          <w:rFonts w:ascii="Times New Roman" w:eastAsia="Times New Roman" w:hAnsi="Times New Roman" w:cs="Times New Roman"/>
          <w:sz w:val="28"/>
          <w:szCs w:val="28"/>
          <w:lang w:val="en-US"/>
        </w:rPr>
        <w:t>,</w:t>
      </w:r>
      <w:r w:rsidRPr="00CC0061">
        <w:rPr>
          <w:rFonts w:ascii="Times New Roman" w:eastAsia="Times New Roman" w:hAnsi="Times New Roman" w:cs="Times New Roman"/>
          <w:sz w:val="28"/>
          <w:szCs w:val="28"/>
        </w:rPr>
        <w:t xml:space="preserve"> bổ sung hoặc thay thế </w:t>
      </w:r>
      <w:r w:rsidR="00B40011" w:rsidRPr="00CC0061">
        <w:rPr>
          <w:rFonts w:ascii="Times New Roman" w:eastAsia="Times New Roman" w:hAnsi="Times New Roman" w:cs="Times New Roman"/>
          <w:sz w:val="28"/>
          <w:szCs w:val="28"/>
          <w:lang w:val="en-US"/>
        </w:rPr>
        <w:t>(</w:t>
      </w:r>
      <w:r w:rsidRPr="00CC0061">
        <w:rPr>
          <w:rFonts w:ascii="Times New Roman" w:eastAsia="Times New Roman" w:hAnsi="Times New Roman" w:cs="Times New Roman"/>
          <w:sz w:val="28"/>
          <w:szCs w:val="28"/>
        </w:rPr>
        <w:t>nếu có</w:t>
      </w:r>
      <w:r w:rsidR="00B40011" w:rsidRPr="00CC0061">
        <w:rPr>
          <w:rFonts w:ascii="Times New Roman" w:eastAsia="Times New Roman" w:hAnsi="Times New Roman" w:cs="Times New Roman"/>
          <w:sz w:val="28"/>
          <w:szCs w:val="28"/>
          <w:lang w:val="en-US"/>
        </w:rPr>
        <w:t>)</w:t>
      </w:r>
      <w:r w:rsidRPr="00CC0061">
        <w:rPr>
          <w:rFonts w:ascii="Times New Roman" w:eastAsia="Times New Roman" w:hAnsi="Times New Roman" w:cs="Times New Roman"/>
          <w:sz w:val="28"/>
          <w:szCs w:val="28"/>
        </w:rPr>
        <w:t>. Trường hợp không có mức giá giao dịch</w:t>
      </w:r>
      <w:r w:rsidR="00D94A95" w:rsidRPr="00CC0061">
        <w:rPr>
          <w:rFonts w:ascii="Times New Roman" w:eastAsia="Times New Roman" w:hAnsi="Times New Roman" w:cs="Times New Roman"/>
          <w:sz w:val="28"/>
          <w:szCs w:val="28"/>
          <w:lang w:val="en-US"/>
        </w:rPr>
        <w:t xml:space="preserve"> trong phiên chào giá cam kết chắc chắn</w:t>
      </w:r>
      <w:r w:rsidRPr="00CC0061">
        <w:rPr>
          <w:rFonts w:ascii="Times New Roman" w:eastAsia="Times New Roman" w:hAnsi="Times New Roman" w:cs="Times New Roman"/>
          <w:sz w:val="28"/>
          <w:szCs w:val="28"/>
        </w:rPr>
        <w:t xml:space="preserve"> nêu trên, giá trái phiếu </w:t>
      </w:r>
      <w:r w:rsidR="002318A0" w:rsidRPr="00CC0061">
        <w:rPr>
          <w:rFonts w:ascii="Times New Roman" w:eastAsia="Times New Roman" w:hAnsi="Times New Roman" w:cs="Times New Roman"/>
          <w:sz w:val="28"/>
          <w:szCs w:val="28"/>
          <w:lang w:val="en-US"/>
        </w:rPr>
        <w:t>để tính khấu trừ</w:t>
      </w:r>
      <w:r w:rsidRPr="00CC0061">
        <w:rPr>
          <w:rFonts w:ascii="Times New Roman" w:eastAsia="Times New Roman" w:hAnsi="Times New Roman" w:cs="Times New Roman"/>
          <w:sz w:val="28"/>
          <w:szCs w:val="28"/>
        </w:rPr>
        <w:t xml:space="preserve"> là bình quân các mức giá giao dịch trên thị trường thứ cấp trong vòng 10</w:t>
      </w:r>
      <w:r w:rsidR="00723C55">
        <w:rPr>
          <w:rFonts w:ascii="Times New Roman" w:eastAsia="Times New Roman" w:hAnsi="Times New Roman" w:cs="Times New Roman"/>
          <w:sz w:val="28"/>
          <w:szCs w:val="28"/>
          <w:lang w:val="en-US"/>
        </w:rPr>
        <w:t xml:space="preserve"> (mười)</w:t>
      </w:r>
      <w:r w:rsidRPr="00CC0061">
        <w:rPr>
          <w:rFonts w:ascii="Times New Roman" w:eastAsia="Times New Roman" w:hAnsi="Times New Roman" w:cs="Times New Roman"/>
          <w:sz w:val="28"/>
          <w:szCs w:val="28"/>
        </w:rPr>
        <w:t xml:space="preserve"> ngày làm việc gần nhất tính đến thời điểm trích lập dự phòng rủi ro. Trường hợp không có giao dịch trong vòng 10 </w:t>
      </w:r>
      <w:r w:rsidR="00723C55">
        <w:rPr>
          <w:rFonts w:ascii="Times New Roman" w:eastAsia="Times New Roman" w:hAnsi="Times New Roman" w:cs="Times New Roman"/>
          <w:sz w:val="28"/>
          <w:szCs w:val="28"/>
          <w:lang w:val="en-US"/>
        </w:rPr>
        <w:t xml:space="preserve">(mười) </w:t>
      </w:r>
      <w:r w:rsidRPr="00CC0061">
        <w:rPr>
          <w:rFonts w:ascii="Times New Roman" w:eastAsia="Times New Roman" w:hAnsi="Times New Roman" w:cs="Times New Roman"/>
          <w:sz w:val="28"/>
          <w:szCs w:val="28"/>
        </w:rPr>
        <w:t xml:space="preserve">ngày làm việc gần nhất tính đến thời điểm trích lập dự phòng rủi ro thì tổ chức tín dụng, chi nhánh ngân hàng </w:t>
      </w:r>
      <w:r w:rsidR="00723C55">
        <w:rPr>
          <w:rFonts w:ascii="Times New Roman" w:eastAsia="Times New Roman" w:hAnsi="Times New Roman" w:cs="Times New Roman"/>
          <w:sz w:val="28"/>
          <w:szCs w:val="28"/>
          <w:lang w:val="en-US"/>
        </w:rPr>
        <w:t xml:space="preserve">nước ngoài </w:t>
      </w:r>
      <w:r w:rsidRPr="00CC0061">
        <w:rPr>
          <w:rFonts w:ascii="Times New Roman" w:eastAsia="Times New Roman" w:hAnsi="Times New Roman" w:cs="Times New Roman"/>
          <w:sz w:val="28"/>
          <w:szCs w:val="28"/>
        </w:rPr>
        <w:t>xác định giá trị tài sản bảo đảm</w:t>
      </w:r>
      <w:r w:rsidR="002318A0" w:rsidRPr="00CC0061">
        <w:rPr>
          <w:rFonts w:ascii="Times New Roman" w:eastAsia="Times New Roman" w:hAnsi="Times New Roman" w:cs="Times New Roman"/>
          <w:sz w:val="28"/>
          <w:szCs w:val="28"/>
          <w:lang w:val="en-US"/>
        </w:rPr>
        <w:t xml:space="preserve"> theo mệnh giá</w:t>
      </w:r>
      <w:r w:rsidRPr="00CC0061">
        <w:rPr>
          <w:rFonts w:ascii="Times New Roman" w:eastAsia="Times New Roman" w:hAnsi="Times New Roman" w:cs="Times New Roman"/>
          <w:sz w:val="28"/>
          <w:szCs w:val="28"/>
        </w:rPr>
        <w:t>;</w:t>
      </w:r>
    </w:p>
    <w:p w14:paraId="671A6C39"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đ) Trái phiếu chín</w:t>
      </w:r>
      <w:r w:rsidR="00EA1E80">
        <w:rPr>
          <w:rFonts w:ascii="Times New Roman" w:eastAsia="Times New Roman" w:hAnsi="Times New Roman" w:cs="Times New Roman"/>
          <w:sz w:val="28"/>
          <w:szCs w:val="28"/>
        </w:rPr>
        <w:t>h quyền địa phương, trái phiếu C</w:t>
      </w:r>
      <w:r w:rsidRPr="00CC0061">
        <w:rPr>
          <w:rFonts w:ascii="Times New Roman" w:eastAsia="Times New Roman" w:hAnsi="Times New Roman" w:cs="Times New Roman"/>
          <w:sz w:val="28"/>
          <w:szCs w:val="28"/>
        </w:rPr>
        <w:t xml:space="preserve">hính phủ bảo lãnh và trái phiếu doanh nghiệp (kể cả tổ chức tín dụng) đã niêm yết, đăng ký giao dịch: Giá </w:t>
      </w:r>
      <w:r w:rsidR="00D17BE5" w:rsidRPr="00CC0061">
        <w:rPr>
          <w:rFonts w:ascii="Times New Roman" w:eastAsia="Times New Roman" w:hAnsi="Times New Roman" w:cs="Times New Roman"/>
          <w:sz w:val="28"/>
          <w:szCs w:val="28"/>
        </w:rPr>
        <w:t xml:space="preserve">bình quân các mức giá giao dịch trên thị trường thứ cấp trong vòng 10 </w:t>
      </w:r>
      <w:r w:rsidR="00723C55">
        <w:rPr>
          <w:rFonts w:ascii="Times New Roman" w:eastAsia="Times New Roman" w:hAnsi="Times New Roman" w:cs="Times New Roman"/>
          <w:sz w:val="28"/>
          <w:szCs w:val="28"/>
          <w:lang w:val="en-US"/>
        </w:rPr>
        <w:t xml:space="preserve">(mười) </w:t>
      </w:r>
      <w:r w:rsidR="00D17BE5" w:rsidRPr="00CC0061">
        <w:rPr>
          <w:rFonts w:ascii="Times New Roman" w:eastAsia="Times New Roman" w:hAnsi="Times New Roman" w:cs="Times New Roman"/>
          <w:sz w:val="28"/>
          <w:szCs w:val="28"/>
        </w:rPr>
        <w:t xml:space="preserve">ngày làm việc gần nhất </w:t>
      </w:r>
      <w:r w:rsidRPr="00CC0061">
        <w:rPr>
          <w:rFonts w:ascii="Times New Roman" w:eastAsia="Times New Roman" w:hAnsi="Times New Roman" w:cs="Times New Roman"/>
          <w:sz w:val="28"/>
          <w:szCs w:val="28"/>
        </w:rPr>
        <w:t>trước ngày trích lập dự phòng rủi ro do Sở Giao dịch chứng khoán công bố. Trường hợp không có giao dịch trong vòng</w:t>
      </w:r>
      <w:r w:rsidR="00723C55">
        <w:rPr>
          <w:rFonts w:ascii="Times New Roman" w:eastAsia="Times New Roman" w:hAnsi="Times New Roman" w:cs="Times New Roman"/>
          <w:sz w:val="28"/>
          <w:szCs w:val="28"/>
          <w:lang w:val="en-US"/>
        </w:rPr>
        <w:t xml:space="preserve"> </w:t>
      </w:r>
      <w:r w:rsidRPr="00CC0061">
        <w:rPr>
          <w:rFonts w:ascii="Times New Roman" w:eastAsia="Times New Roman" w:hAnsi="Times New Roman" w:cs="Times New Roman"/>
          <w:sz w:val="28"/>
          <w:szCs w:val="28"/>
        </w:rPr>
        <w:t xml:space="preserve">10 </w:t>
      </w:r>
      <w:r w:rsidR="00723C55">
        <w:rPr>
          <w:rFonts w:ascii="Times New Roman" w:eastAsia="Times New Roman" w:hAnsi="Times New Roman" w:cs="Times New Roman"/>
          <w:sz w:val="28"/>
          <w:szCs w:val="28"/>
          <w:lang w:val="en-US"/>
        </w:rPr>
        <w:t xml:space="preserve">(mười) </w:t>
      </w:r>
      <w:r w:rsidRPr="00CC0061">
        <w:rPr>
          <w:rFonts w:ascii="Times New Roman" w:eastAsia="Times New Roman" w:hAnsi="Times New Roman" w:cs="Times New Roman"/>
          <w:sz w:val="28"/>
          <w:szCs w:val="28"/>
        </w:rPr>
        <w:t xml:space="preserve">ngày tính đến ngày trích lập dự phòng cụ thể thì tổ chức tín dụng, chi nhánh ngân hàng </w:t>
      </w:r>
      <w:r w:rsidR="00B40011" w:rsidRPr="00CC0061">
        <w:rPr>
          <w:rFonts w:ascii="Times New Roman" w:eastAsia="Times New Roman" w:hAnsi="Times New Roman" w:cs="Times New Roman"/>
          <w:sz w:val="28"/>
          <w:szCs w:val="28"/>
          <w:lang w:val="en-US"/>
        </w:rPr>
        <w:t>nướ</w:t>
      </w:r>
      <w:r w:rsidR="00723C55">
        <w:rPr>
          <w:rFonts w:ascii="Times New Roman" w:eastAsia="Times New Roman" w:hAnsi="Times New Roman" w:cs="Times New Roman"/>
          <w:sz w:val="28"/>
          <w:szCs w:val="28"/>
          <w:lang w:val="en-US"/>
        </w:rPr>
        <w:t>c</w:t>
      </w:r>
      <w:r w:rsidR="00B40011" w:rsidRPr="00CC0061">
        <w:rPr>
          <w:rFonts w:ascii="Times New Roman" w:eastAsia="Times New Roman" w:hAnsi="Times New Roman" w:cs="Times New Roman"/>
          <w:sz w:val="28"/>
          <w:szCs w:val="28"/>
          <w:lang w:val="en-US"/>
        </w:rPr>
        <w:t xml:space="preserve"> ngoài </w:t>
      </w:r>
      <w:r w:rsidRPr="00CC0061">
        <w:rPr>
          <w:rFonts w:ascii="Times New Roman" w:eastAsia="Times New Roman" w:hAnsi="Times New Roman" w:cs="Times New Roman"/>
          <w:sz w:val="28"/>
          <w:szCs w:val="28"/>
        </w:rPr>
        <w:t>xác định giá trị tài sản bảo đảm theo mệnh giá;</w:t>
      </w:r>
    </w:p>
    <w:p w14:paraId="7BB6C4A8"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e) Chứng khoán chưa được niêm yết trên Sở giao dịch chứng khoán, kỳ phiếu, tín phiếu, chứng chỉ tiền gửi do doanh nghiệp (kể cả tổ chức tín dụng, chi nhánh ngân hàng nước ngoài) phát hành: tính theo mệnh giá.</w:t>
      </w:r>
    </w:p>
    <w:p w14:paraId="2DA36E33"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Trường hợp tại thời điểm trích lập dự phòng cụ thể</w:t>
      </w:r>
      <w:r w:rsidR="00733788">
        <w:rPr>
          <w:rFonts w:ascii="Times New Roman" w:eastAsia="Times New Roman" w:hAnsi="Times New Roman" w:cs="Times New Roman"/>
          <w:sz w:val="28"/>
          <w:szCs w:val="28"/>
          <w:lang w:val="en-US"/>
        </w:rPr>
        <w:t>,</w:t>
      </w:r>
      <w:r w:rsidRPr="00CC0061">
        <w:rPr>
          <w:rFonts w:ascii="Times New Roman" w:eastAsia="Times New Roman" w:hAnsi="Times New Roman" w:cs="Times New Roman"/>
          <w:sz w:val="28"/>
          <w:szCs w:val="28"/>
        </w:rPr>
        <w:t xml:space="preserve"> giá trị vốn chủ sở hữu thấp hơn giá trị vốn đầu tư thực tế của các chủ sở hữu ở tổ chức phát hành thì giá trị tài sản bảo đảm được xác định như sau:</w:t>
      </w:r>
    </w:p>
    <w:p w14:paraId="71C75618"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lastRenderedPageBreak/>
        <w:t>Mệnh giá chứng khoán, giấy tờ có giá nhân (x)</w:t>
      </w:r>
      <w:r w:rsidR="00733788">
        <w:rPr>
          <w:rFonts w:ascii="Times New Roman" w:eastAsia="Times New Roman" w:hAnsi="Times New Roman" w:cs="Times New Roman"/>
          <w:sz w:val="28"/>
          <w:szCs w:val="28"/>
          <w:lang w:val="en-US"/>
        </w:rPr>
        <w:t xml:space="preserve"> với</w:t>
      </w:r>
      <w:r w:rsidRPr="00CC0061">
        <w:rPr>
          <w:rFonts w:ascii="Times New Roman" w:eastAsia="Times New Roman" w:hAnsi="Times New Roman" w:cs="Times New Roman"/>
          <w:sz w:val="28"/>
          <w:szCs w:val="28"/>
        </w:rPr>
        <w:t xml:space="preserve"> vốn chủ sở hữ</w:t>
      </w:r>
      <w:r w:rsidR="00733788">
        <w:rPr>
          <w:rFonts w:ascii="Times New Roman" w:eastAsia="Times New Roman" w:hAnsi="Times New Roman" w:cs="Times New Roman"/>
          <w:sz w:val="28"/>
          <w:szCs w:val="28"/>
        </w:rPr>
        <w:t>u của tổ chức phát hành chia</w:t>
      </w:r>
      <w:r w:rsidRPr="00CC0061">
        <w:rPr>
          <w:rFonts w:ascii="Times New Roman" w:eastAsia="Times New Roman" w:hAnsi="Times New Roman" w:cs="Times New Roman"/>
          <w:sz w:val="28"/>
          <w:szCs w:val="28"/>
        </w:rPr>
        <w:t xml:space="preserve"> (:)</w:t>
      </w:r>
      <w:r w:rsidR="00733788">
        <w:rPr>
          <w:rFonts w:ascii="Times New Roman" w:eastAsia="Times New Roman" w:hAnsi="Times New Roman" w:cs="Times New Roman"/>
          <w:sz w:val="28"/>
          <w:szCs w:val="28"/>
          <w:lang w:val="en-US"/>
        </w:rPr>
        <w:t xml:space="preserve"> cho</w:t>
      </w:r>
      <w:r w:rsidRPr="00CC0061">
        <w:rPr>
          <w:rFonts w:ascii="Times New Roman" w:eastAsia="Times New Roman" w:hAnsi="Times New Roman" w:cs="Times New Roman"/>
          <w:sz w:val="28"/>
          <w:szCs w:val="28"/>
        </w:rPr>
        <w:t xml:space="preserve"> vốn đầu tư thực tế của các chủ sở hữu ở tổ chức phát hành.</w:t>
      </w:r>
    </w:p>
    <w:p w14:paraId="073EC012"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Trong đó: Vốn đầu tư thực tế của các chủ sở hữu ở tổ chức phát hành và vốn chủ sở hữu của tổ chức phát hành được xác định trên Bảng cân đối kế toán kỳ gần nhất trước ngày trích lập dự phòng cụ thể theo quy định của Bộ Tài chính hướng dẫn chế độ kế toán doanh nghiệp.</w:t>
      </w:r>
    </w:p>
    <w:p w14:paraId="0D5B3501"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lang w:val="en-US"/>
        </w:rPr>
      </w:pPr>
      <w:r w:rsidRPr="00CC0061">
        <w:rPr>
          <w:rFonts w:ascii="Times New Roman" w:eastAsia="Times New Roman" w:hAnsi="Times New Roman" w:cs="Times New Roman"/>
          <w:sz w:val="28"/>
          <w:szCs w:val="28"/>
        </w:rPr>
        <w:t>Trường hợp vốn chủ sở hữu của tổ chức phát hành âm, giá trị tài sản bảo đảm để kh</w:t>
      </w:r>
      <w:r w:rsidR="00B40011" w:rsidRPr="00CC0061">
        <w:rPr>
          <w:rFonts w:ascii="Times New Roman" w:eastAsia="Times New Roman" w:hAnsi="Times New Roman" w:cs="Times New Roman"/>
          <w:sz w:val="28"/>
          <w:szCs w:val="28"/>
        </w:rPr>
        <w:t xml:space="preserve">ấu trừ (Ci) phải coi bằng </w:t>
      </w:r>
      <w:r w:rsidR="00A87C8D">
        <w:rPr>
          <w:rFonts w:ascii="Times New Roman" w:eastAsia="Times New Roman" w:hAnsi="Times New Roman" w:cs="Times New Roman"/>
          <w:sz w:val="28"/>
          <w:szCs w:val="28"/>
          <w:lang w:val="en-US"/>
        </w:rPr>
        <w:t>0 (</w:t>
      </w:r>
      <w:r w:rsidR="00B40011" w:rsidRPr="00CC0061">
        <w:rPr>
          <w:rFonts w:ascii="Times New Roman" w:eastAsia="Times New Roman" w:hAnsi="Times New Roman" w:cs="Times New Roman"/>
          <w:sz w:val="28"/>
          <w:szCs w:val="28"/>
        </w:rPr>
        <w:t>không</w:t>
      </w:r>
      <w:r w:rsidR="00A87C8D">
        <w:rPr>
          <w:rFonts w:ascii="Times New Roman" w:eastAsia="Times New Roman" w:hAnsi="Times New Roman" w:cs="Times New Roman"/>
          <w:sz w:val="28"/>
          <w:szCs w:val="28"/>
          <w:lang w:val="en-US"/>
        </w:rPr>
        <w:t>)</w:t>
      </w:r>
      <w:r w:rsidR="00B40011" w:rsidRPr="00CC0061">
        <w:rPr>
          <w:rFonts w:ascii="Times New Roman" w:eastAsia="Times New Roman" w:hAnsi="Times New Roman" w:cs="Times New Roman"/>
          <w:sz w:val="28"/>
          <w:szCs w:val="28"/>
          <w:lang w:val="en-US"/>
        </w:rPr>
        <w:t>;</w:t>
      </w:r>
    </w:p>
    <w:p w14:paraId="7F0D1F42"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g) Tài sản cho thuê tài chính: Giá trị của tài sản cho thuê tài chính được địn</w:t>
      </w:r>
      <w:r w:rsidR="00733788">
        <w:rPr>
          <w:rFonts w:ascii="Times New Roman" w:eastAsia="Times New Roman" w:hAnsi="Times New Roman" w:cs="Times New Roman"/>
          <w:sz w:val="28"/>
          <w:szCs w:val="28"/>
        </w:rPr>
        <w:t xml:space="preserve">h giá theo quy định tại điểm h </w:t>
      </w:r>
      <w:r w:rsidR="00733788">
        <w:rPr>
          <w:rFonts w:ascii="Times New Roman" w:eastAsia="Times New Roman" w:hAnsi="Times New Roman" w:cs="Times New Roman"/>
          <w:sz w:val="28"/>
          <w:szCs w:val="28"/>
          <w:lang w:val="en-US"/>
        </w:rPr>
        <w:t>K</w:t>
      </w:r>
      <w:r w:rsidRPr="00CC0061">
        <w:rPr>
          <w:rFonts w:ascii="Times New Roman" w:eastAsia="Times New Roman" w:hAnsi="Times New Roman" w:cs="Times New Roman"/>
          <w:sz w:val="28"/>
          <w:szCs w:val="28"/>
        </w:rPr>
        <w:t>hoản này hoặc giá trị còn lại của tài sản cho thuê tài chính theo thời gian cho thuê được tính bằng công thức:</w:t>
      </w:r>
    </w:p>
    <w:p w14:paraId="35751426"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lang w:val="en-US"/>
        </w:rPr>
      </w:pPr>
      <w:r w:rsidRPr="00CC0061">
        <w:rPr>
          <w:rFonts w:ascii="Times New Roman" w:eastAsia="Times New Roman" w:hAnsi="Times New Roman" w:cs="Times New Roman"/>
          <w:sz w:val="28"/>
          <w:szCs w:val="28"/>
        </w:rPr>
        <w:t>Giá trị tài sản cho thuê tài chính chia (:) cho thời gian</w:t>
      </w:r>
      <w:r w:rsidR="00733788">
        <w:rPr>
          <w:rFonts w:ascii="Times New Roman" w:eastAsia="Times New Roman" w:hAnsi="Times New Roman" w:cs="Times New Roman"/>
          <w:sz w:val="28"/>
          <w:szCs w:val="28"/>
        </w:rPr>
        <w:t xml:space="preserve"> cho thuê theo hợp đồng nhân</w:t>
      </w:r>
      <w:r w:rsidRPr="00CC0061">
        <w:rPr>
          <w:rFonts w:ascii="Times New Roman" w:eastAsia="Times New Roman" w:hAnsi="Times New Roman" w:cs="Times New Roman"/>
          <w:sz w:val="28"/>
          <w:szCs w:val="28"/>
        </w:rPr>
        <w:t xml:space="preserve"> (x)</w:t>
      </w:r>
      <w:r w:rsidR="00733788">
        <w:rPr>
          <w:rFonts w:ascii="Times New Roman" w:eastAsia="Times New Roman" w:hAnsi="Times New Roman" w:cs="Times New Roman"/>
          <w:sz w:val="28"/>
          <w:szCs w:val="28"/>
          <w:lang w:val="en-US"/>
        </w:rPr>
        <w:t xml:space="preserve"> với</w:t>
      </w:r>
      <w:r w:rsidRPr="00CC0061">
        <w:rPr>
          <w:rFonts w:ascii="Times New Roman" w:eastAsia="Times New Roman" w:hAnsi="Times New Roman" w:cs="Times New Roman"/>
          <w:sz w:val="28"/>
          <w:szCs w:val="28"/>
        </w:rPr>
        <w:t xml:space="preserve"> thời gian thuê </w:t>
      </w:r>
      <w:r w:rsidR="00B40011" w:rsidRPr="00CC0061">
        <w:rPr>
          <w:rFonts w:ascii="Times New Roman" w:eastAsia="Times New Roman" w:hAnsi="Times New Roman" w:cs="Times New Roman"/>
          <w:sz w:val="28"/>
          <w:szCs w:val="28"/>
        </w:rPr>
        <w:t>còn lại theo hợp đồng</w:t>
      </w:r>
      <w:r w:rsidR="00B40011" w:rsidRPr="00CC0061">
        <w:rPr>
          <w:rFonts w:ascii="Times New Roman" w:eastAsia="Times New Roman" w:hAnsi="Times New Roman" w:cs="Times New Roman"/>
          <w:sz w:val="28"/>
          <w:szCs w:val="28"/>
          <w:lang w:val="en-US"/>
        </w:rPr>
        <w:t>;</w:t>
      </w:r>
    </w:p>
    <w:p w14:paraId="6792C24E"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h) Việc xác định giá</w:t>
      </w:r>
      <w:r w:rsidR="00B40011" w:rsidRPr="00CC0061">
        <w:rPr>
          <w:rFonts w:ascii="Times New Roman" w:eastAsia="Times New Roman" w:hAnsi="Times New Roman" w:cs="Times New Roman"/>
          <w:sz w:val="28"/>
          <w:szCs w:val="28"/>
          <w:lang w:val="en-US"/>
        </w:rPr>
        <w:t xml:space="preserve"> trị</w:t>
      </w:r>
      <w:r w:rsidRPr="00CC0061">
        <w:rPr>
          <w:rFonts w:ascii="Times New Roman" w:eastAsia="Times New Roman" w:hAnsi="Times New Roman" w:cs="Times New Roman"/>
          <w:sz w:val="28"/>
          <w:szCs w:val="28"/>
        </w:rPr>
        <w:t xml:space="preserve"> của tài sản bảo đảm để khấu trừ khi tính số tiền dự phòng cụ thể đối với động sản, bất động sản và các lo</w:t>
      </w:r>
      <w:r w:rsidR="00733788">
        <w:rPr>
          <w:rFonts w:ascii="Times New Roman" w:eastAsia="Times New Roman" w:hAnsi="Times New Roman" w:cs="Times New Roman"/>
          <w:sz w:val="28"/>
          <w:szCs w:val="28"/>
        </w:rPr>
        <w:t>ại tài sản bảo đảm khác, trừ</w:t>
      </w:r>
      <w:r w:rsidRPr="00CC0061">
        <w:rPr>
          <w:rFonts w:ascii="Times New Roman" w:eastAsia="Times New Roman" w:hAnsi="Times New Roman" w:cs="Times New Roman"/>
          <w:sz w:val="28"/>
          <w:szCs w:val="28"/>
        </w:rPr>
        <w:t xml:space="preserve"> tài sản quy </w:t>
      </w:r>
      <w:r w:rsidR="00733788">
        <w:rPr>
          <w:rFonts w:ascii="Times New Roman" w:eastAsia="Times New Roman" w:hAnsi="Times New Roman" w:cs="Times New Roman"/>
          <w:sz w:val="28"/>
          <w:szCs w:val="28"/>
        </w:rPr>
        <w:t>định tại</w:t>
      </w:r>
      <w:r w:rsidR="00733788">
        <w:rPr>
          <w:rFonts w:ascii="Times New Roman" w:eastAsia="Times New Roman" w:hAnsi="Times New Roman" w:cs="Times New Roman"/>
          <w:sz w:val="28"/>
          <w:szCs w:val="28"/>
          <w:lang w:val="en-US"/>
        </w:rPr>
        <w:t xml:space="preserve"> các</w:t>
      </w:r>
      <w:r w:rsidR="00733788">
        <w:rPr>
          <w:rFonts w:ascii="Times New Roman" w:eastAsia="Times New Roman" w:hAnsi="Times New Roman" w:cs="Times New Roman"/>
          <w:sz w:val="28"/>
          <w:szCs w:val="28"/>
        </w:rPr>
        <w:t xml:space="preserve"> điểm a, b, c, d, đ, e </w:t>
      </w:r>
      <w:r w:rsidR="00733788">
        <w:rPr>
          <w:rFonts w:ascii="Times New Roman" w:eastAsia="Times New Roman" w:hAnsi="Times New Roman" w:cs="Times New Roman"/>
          <w:sz w:val="28"/>
          <w:szCs w:val="28"/>
          <w:lang w:val="en-US"/>
        </w:rPr>
        <w:t>K</w:t>
      </w:r>
      <w:r w:rsidRPr="00CC0061">
        <w:rPr>
          <w:rFonts w:ascii="Times New Roman" w:eastAsia="Times New Roman" w:hAnsi="Times New Roman" w:cs="Times New Roman"/>
          <w:sz w:val="28"/>
          <w:szCs w:val="28"/>
        </w:rPr>
        <w:t>hoản này được thực hiện như sau:</w:t>
      </w:r>
    </w:p>
    <w:p w14:paraId="043515A3"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xml:space="preserve">(i) Tổ chức tín dụng, chi nhánh ngân hàng nước ngoài phải thuê tổ chức có chức năng thẩm định giá theo quy định của pháp luật </w:t>
      </w:r>
      <w:r w:rsidR="004C0EF9" w:rsidRPr="00CC0061">
        <w:rPr>
          <w:rFonts w:ascii="Times New Roman" w:eastAsia="Times New Roman" w:hAnsi="Times New Roman" w:cs="Times New Roman"/>
          <w:sz w:val="28"/>
          <w:szCs w:val="28"/>
        </w:rPr>
        <w:t>để xác định giá trị tài sản bảo đảm được khấu trừ khi tính số tiền trích lập dự phòng cụ thể</w:t>
      </w:r>
      <w:r w:rsidR="004C0EF9" w:rsidRPr="00CC0061">
        <w:rPr>
          <w:rFonts w:ascii="Times New Roman" w:eastAsia="Times New Roman" w:hAnsi="Times New Roman" w:cs="Times New Roman"/>
          <w:sz w:val="28"/>
          <w:szCs w:val="28"/>
          <w:lang w:val="en-US"/>
        </w:rPr>
        <w:t xml:space="preserve"> cuối năm</w:t>
      </w:r>
      <w:r w:rsidR="002435F6" w:rsidRPr="00CC0061">
        <w:rPr>
          <w:rFonts w:ascii="Times New Roman" w:eastAsia="Times New Roman" w:hAnsi="Times New Roman" w:cs="Times New Roman"/>
          <w:sz w:val="28"/>
          <w:szCs w:val="28"/>
          <w:lang w:val="en-US"/>
        </w:rPr>
        <w:t xml:space="preserve"> tài chính</w:t>
      </w:r>
      <w:r w:rsidR="004C0EF9" w:rsidRPr="00CC0061">
        <w:rPr>
          <w:rFonts w:ascii="Times New Roman" w:eastAsia="Times New Roman" w:hAnsi="Times New Roman" w:cs="Times New Roman"/>
          <w:sz w:val="28"/>
          <w:szCs w:val="28"/>
        </w:rPr>
        <w:t xml:space="preserve"> </w:t>
      </w:r>
      <w:r w:rsidRPr="00CC0061">
        <w:rPr>
          <w:rFonts w:ascii="Times New Roman" w:eastAsia="Times New Roman" w:hAnsi="Times New Roman" w:cs="Times New Roman"/>
          <w:sz w:val="28"/>
          <w:szCs w:val="28"/>
        </w:rPr>
        <w:t>trong các trường hợp sau đây:</w:t>
      </w:r>
    </w:p>
    <w:p w14:paraId="038BC5E4"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Tài sản bảo đảm mà tổ chức tín dụng, chi nhánh ngân hàng nước ngoài định giá từ 50 tỷ đồng trở lên đối với khoản nợ của khách hàng là người có liên quan của tổ chức tín dụng, chi nhánh ngân hàng nước ngoài và các đối tượng bị hạn chế cấp tín dụng t</w:t>
      </w:r>
      <w:r w:rsidR="00733788">
        <w:rPr>
          <w:rFonts w:ascii="Times New Roman" w:eastAsia="Times New Roman" w:hAnsi="Times New Roman" w:cs="Times New Roman"/>
          <w:sz w:val="28"/>
          <w:szCs w:val="28"/>
        </w:rPr>
        <w:t xml:space="preserve">heo quy định tại Điều 127 Luật </w:t>
      </w:r>
      <w:r w:rsidR="00733788">
        <w:rPr>
          <w:rFonts w:ascii="Times New Roman" w:eastAsia="Times New Roman" w:hAnsi="Times New Roman" w:cs="Times New Roman"/>
          <w:sz w:val="28"/>
          <w:szCs w:val="28"/>
          <w:lang w:val="en-US"/>
        </w:rPr>
        <w:t>C</w:t>
      </w:r>
      <w:r w:rsidR="00733788">
        <w:rPr>
          <w:rFonts w:ascii="Times New Roman" w:eastAsia="Times New Roman" w:hAnsi="Times New Roman" w:cs="Times New Roman"/>
          <w:sz w:val="28"/>
          <w:szCs w:val="28"/>
        </w:rPr>
        <w:t xml:space="preserve">ác tổ chức tín dụng (đã sửa đổi, bổ sung); </w:t>
      </w:r>
      <w:r w:rsidR="00733788">
        <w:rPr>
          <w:rFonts w:ascii="Times New Roman" w:eastAsia="Times New Roman" w:hAnsi="Times New Roman" w:cs="Times New Roman"/>
          <w:sz w:val="28"/>
          <w:szCs w:val="28"/>
          <w:lang w:val="en-US"/>
        </w:rPr>
        <w:t>t</w:t>
      </w:r>
      <w:r w:rsidRPr="00CC0061">
        <w:rPr>
          <w:rFonts w:ascii="Times New Roman" w:eastAsia="Times New Roman" w:hAnsi="Times New Roman" w:cs="Times New Roman"/>
          <w:sz w:val="28"/>
          <w:szCs w:val="28"/>
        </w:rPr>
        <w:t>ài sản bảo đảm mà tổ chức tín dụng, chi nhánh ngân hàng nước ngoài định giá từ 200 tỷ đồng trở lên.</w:t>
      </w:r>
    </w:p>
    <w:p w14:paraId="24336DBB"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bookmarkStart w:id="14" w:name="_heading=h.gjdgxs" w:colFirst="0" w:colLast="0"/>
      <w:bookmarkEnd w:id="14"/>
      <w:r w:rsidRPr="00CC0061">
        <w:rPr>
          <w:rFonts w:ascii="Times New Roman" w:eastAsia="Times New Roman" w:hAnsi="Times New Roman" w:cs="Times New Roman"/>
          <w:sz w:val="28"/>
          <w:szCs w:val="28"/>
        </w:rPr>
        <w:t>Kết quả định giá tài sản bảo đảm của tổ chức có chức năng thẩm định giá theo quy định của pháp luật được tổ chức tín dụng, chi nhánh ngân hàng nước ngoài sử dụng để xác định giá trị tài sản bảo đảm được khấu trừ khi tính số tiền trích lập dự phòng cụ thể.</w:t>
      </w:r>
    </w:p>
    <w:p w14:paraId="640577B9"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Trường hợp tổ chức có chức năng thẩm định giá không đủ khả năng hoặc không có tổ chức có chức năng thẩm định giá định giá các tài sản bảo đảm thì tổ chức tín dụng, chi nhánh ngân hàng nước ngoài sử dụng kết quả định giá theo quy định nội bộ quy định tại điểm h khoản 2 Điều 6 Thông tư này. Trường hợp không có văn bản định giá tài sản bảo đảm của tổ chức định giá và không xác định được giá trị tài sản bảo đảm theo quy định nội bộ thì giá t</w:t>
      </w:r>
      <w:r w:rsidR="00445A88" w:rsidRPr="00CC0061">
        <w:rPr>
          <w:rFonts w:ascii="Times New Roman" w:eastAsia="Times New Roman" w:hAnsi="Times New Roman" w:cs="Times New Roman"/>
          <w:sz w:val="28"/>
          <w:szCs w:val="28"/>
        </w:rPr>
        <w:t xml:space="preserve">rị tài sản bảo đảm để khấu trừ </w:t>
      </w:r>
      <w:r w:rsidRPr="00CC0061">
        <w:rPr>
          <w:rFonts w:ascii="Times New Roman" w:eastAsia="Times New Roman" w:hAnsi="Times New Roman" w:cs="Times New Roman"/>
          <w:sz w:val="28"/>
          <w:szCs w:val="28"/>
        </w:rPr>
        <w:t>phải coi bằng</w:t>
      </w:r>
      <w:r w:rsidR="00A87C8D">
        <w:rPr>
          <w:rFonts w:ascii="Times New Roman" w:eastAsia="Times New Roman" w:hAnsi="Times New Roman" w:cs="Times New Roman"/>
          <w:sz w:val="28"/>
          <w:szCs w:val="28"/>
          <w:lang w:val="en-US"/>
        </w:rPr>
        <w:t xml:space="preserve"> 0</w:t>
      </w:r>
      <w:r w:rsidRPr="00CC0061">
        <w:rPr>
          <w:rFonts w:ascii="Times New Roman" w:eastAsia="Times New Roman" w:hAnsi="Times New Roman" w:cs="Times New Roman"/>
          <w:sz w:val="28"/>
          <w:szCs w:val="28"/>
        </w:rPr>
        <w:t xml:space="preserve"> </w:t>
      </w:r>
      <w:r w:rsidR="00A87C8D">
        <w:rPr>
          <w:rFonts w:ascii="Times New Roman" w:eastAsia="Times New Roman" w:hAnsi="Times New Roman" w:cs="Times New Roman"/>
          <w:sz w:val="28"/>
          <w:szCs w:val="28"/>
          <w:lang w:val="en-US"/>
        </w:rPr>
        <w:t>(</w:t>
      </w:r>
      <w:r w:rsidRPr="00CC0061">
        <w:rPr>
          <w:rFonts w:ascii="Times New Roman" w:eastAsia="Times New Roman" w:hAnsi="Times New Roman" w:cs="Times New Roman"/>
          <w:sz w:val="28"/>
          <w:szCs w:val="28"/>
        </w:rPr>
        <w:t>không</w:t>
      </w:r>
      <w:r w:rsidR="00A87C8D">
        <w:rPr>
          <w:rFonts w:ascii="Times New Roman" w:eastAsia="Times New Roman" w:hAnsi="Times New Roman" w:cs="Times New Roman"/>
          <w:sz w:val="28"/>
          <w:szCs w:val="28"/>
          <w:lang w:val="en-US"/>
        </w:rPr>
        <w:t>)</w:t>
      </w:r>
      <w:r w:rsidRPr="00CC0061">
        <w:rPr>
          <w:rFonts w:ascii="Times New Roman" w:eastAsia="Times New Roman" w:hAnsi="Times New Roman" w:cs="Times New Roman"/>
          <w:sz w:val="28"/>
          <w:szCs w:val="28"/>
        </w:rPr>
        <w:t>;</w:t>
      </w:r>
    </w:p>
    <w:p w14:paraId="40CED76A"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lang w:val="en-US"/>
        </w:rPr>
      </w:pPr>
      <w:r w:rsidRPr="00CC0061">
        <w:rPr>
          <w:rFonts w:ascii="Times New Roman" w:eastAsia="Times New Roman" w:hAnsi="Times New Roman" w:cs="Times New Roman"/>
          <w:sz w:val="28"/>
          <w:szCs w:val="28"/>
        </w:rPr>
        <w:t xml:space="preserve">(ii) Trừ </w:t>
      </w:r>
      <w:r w:rsidR="004C0EF9" w:rsidRPr="00CC0061">
        <w:rPr>
          <w:rFonts w:ascii="Times New Roman" w:eastAsia="Times New Roman" w:hAnsi="Times New Roman" w:cs="Times New Roman"/>
          <w:sz w:val="28"/>
          <w:szCs w:val="28"/>
          <w:lang w:val="en-US"/>
        </w:rPr>
        <w:t>trường hợp</w:t>
      </w:r>
      <w:r w:rsidRPr="00CC0061">
        <w:rPr>
          <w:rFonts w:ascii="Times New Roman" w:eastAsia="Times New Roman" w:hAnsi="Times New Roman" w:cs="Times New Roman"/>
          <w:sz w:val="28"/>
          <w:szCs w:val="28"/>
        </w:rPr>
        <w:t xml:space="preserve"> quy định tại điểm h(i) </w:t>
      </w:r>
      <w:r w:rsidR="00FC66BF">
        <w:rPr>
          <w:rFonts w:ascii="Times New Roman" w:eastAsia="Times New Roman" w:hAnsi="Times New Roman" w:cs="Times New Roman"/>
          <w:sz w:val="28"/>
          <w:szCs w:val="28"/>
          <w:lang w:val="en-US"/>
        </w:rPr>
        <w:t>K</w:t>
      </w:r>
      <w:r w:rsidRPr="00CC0061">
        <w:rPr>
          <w:rFonts w:ascii="Times New Roman" w:eastAsia="Times New Roman" w:hAnsi="Times New Roman" w:cs="Times New Roman"/>
          <w:sz w:val="28"/>
          <w:szCs w:val="28"/>
        </w:rPr>
        <w:t xml:space="preserve">hoản này, tổ chức tín dụng, chi nhánh ngân hàng nước ngoài xác định giá trị tài sản bảo đảm để khấu trừ khi tính </w:t>
      </w:r>
      <w:r w:rsidRPr="00CC0061">
        <w:rPr>
          <w:rFonts w:ascii="Times New Roman" w:eastAsia="Times New Roman" w:hAnsi="Times New Roman" w:cs="Times New Roman"/>
          <w:sz w:val="28"/>
          <w:szCs w:val="28"/>
        </w:rPr>
        <w:lastRenderedPageBreak/>
        <w:t>số tiền trích lập dự phòng cụ thể theo quy định nội bộ tại</w:t>
      </w:r>
      <w:r w:rsidR="00FC66BF">
        <w:rPr>
          <w:rFonts w:ascii="Times New Roman" w:eastAsia="Times New Roman" w:hAnsi="Times New Roman" w:cs="Times New Roman"/>
          <w:sz w:val="28"/>
          <w:szCs w:val="28"/>
          <w:lang w:val="en-US"/>
        </w:rPr>
        <w:t xml:space="preserve"> điểm h khoản 2</w:t>
      </w:r>
      <w:r w:rsidRPr="00CC0061">
        <w:rPr>
          <w:rFonts w:ascii="Times New Roman" w:eastAsia="Times New Roman" w:hAnsi="Times New Roman" w:cs="Times New Roman"/>
          <w:sz w:val="28"/>
          <w:szCs w:val="28"/>
        </w:rPr>
        <w:t xml:space="preserve"> Điều 6 Thông tư này.</w:t>
      </w:r>
    </w:p>
    <w:p w14:paraId="5A2AC3DD"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6. Tổ chức tín dụng, chi nhánh ngân hàng nước ngoài xác định tỷ lệ khấu trừ cụ thể của từng loại tài sản bảo đảm theo nguyên tắc tài sản bảo đảm có kh</w:t>
      </w:r>
      <w:r w:rsidR="00445A88" w:rsidRPr="00CC0061">
        <w:rPr>
          <w:rFonts w:ascii="Times New Roman" w:eastAsia="Times New Roman" w:hAnsi="Times New Roman" w:cs="Times New Roman"/>
          <w:sz w:val="28"/>
          <w:szCs w:val="28"/>
        </w:rPr>
        <w:t>ả năng thanh khoản càng thấp</w:t>
      </w:r>
      <w:r w:rsidR="00445A88" w:rsidRPr="00CC0061">
        <w:rPr>
          <w:rFonts w:ascii="Times New Roman" w:eastAsia="Times New Roman" w:hAnsi="Times New Roman" w:cs="Times New Roman"/>
          <w:sz w:val="28"/>
          <w:szCs w:val="28"/>
          <w:lang w:val="en-US"/>
        </w:rPr>
        <w:t xml:space="preserve">, </w:t>
      </w:r>
      <w:r w:rsidRPr="00CC0061">
        <w:rPr>
          <w:rFonts w:ascii="Times New Roman" w:eastAsia="Times New Roman" w:hAnsi="Times New Roman" w:cs="Times New Roman"/>
          <w:sz w:val="28"/>
          <w:szCs w:val="28"/>
        </w:rPr>
        <w:t xml:space="preserve">mức biến động giá càng lớn thì tỷ lệ khấu trừ tài sản bảo đảm càng thấp. Trong đó, tỷ lệ khấu trừ tối đa đối với tài sản bảo đảm </w:t>
      </w:r>
      <w:r w:rsidR="00445A88" w:rsidRPr="00CC0061">
        <w:rPr>
          <w:rFonts w:ascii="Times New Roman" w:eastAsia="Times New Roman" w:hAnsi="Times New Roman" w:cs="Times New Roman"/>
          <w:sz w:val="28"/>
          <w:szCs w:val="28"/>
          <w:lang w:val="en-US"/>
        </w:rPr>
        <w:t>được xác định</w:t>
      </w:r>
      <w:r w:rsidRPr="00CC0061">
        <w:rPr>
          <w:rFonts w:ascii="Times New Roman" w:eastAsia="Times New Roman" w:hAnsi="Times New Roman" w:cs="Times New Roman"/>
          <w:sz w:val="28"/>
          <w:szCs w:val="28"/>
        </w:rPr>
        <w:t xml:space="preserve"> như sau:</w:t>
      </w:r>
    </w:p>
    <w:p w14:paraId="35A8E4A1"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a) Số dư tiền gửi, chứng chỉ tiền gửi của khách hàng bằng Đồng Việt Nam tại chính tổ chức tín dụng, chi nhánh ngân hàng nước ngoài: 100%;</w:t>
      </w:r>
    </w:p>
    <w:p w14:paraId="2B57CB2F"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b) Trái phiếu Chính phủ, vàng miếng theo quy định của pháp luật về hoạt động kinh doanh vàng; số dư tiền gửi, chứng chỉ tiền gửi của khách hàng bằng ngoại tệ tại chính tổ chức tín dụng, chi nhánh ngân hàng nước ngoài: 95%;</w:t>
      </w:r>
    </w:p>
    <w:p w14:paraId="621A839E"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c) Trái phiếu chính quyền địa phương, trá</w:t>
      </w:r>
      <w:r w:rsidR="00841434" w:rsidRPr="00CC0061">
        <w:rPr>
          <w:rFonts w:ascii="Times New Roman" w:eastAsia="Times New Roman" w:hAnsi="Times New Roman" w:cs="Times New Roman"/>
          <w:sz w:val="28"/>
          <w:szCs w:val="28"/>
        </w:rPr>
        <w:t>i phiếu được Chính phủ bảo lãnh</w:t>
      </w:r>
      <w:r w:rsidR="00841434" w:rsidRPr="00CC0061">
        <w:rPr>
          <w:rFonts w:ascii="Times New Roman" w:eastAsia="Times New Roman" w:hAnsi="Times New Roman" w:cs="Times New Roman"/>
          <w:sz w:val="28"/>
          <w:szCs w:val="28"/>
          <w:lang w:val="en-US"/>
        </w:rPr>
        <w:t>;</w:t>
      </w:r>
      <w:r w:rsidRPr="00CC0061">
        <w:rPr>
          <w:rFonts w:ascii="Times New Roman" w:eastAsia="Times New Roman" w:hAnsi="Times New Roman" w:cs="Times New Roman"/>
          <w:sz w:val="28"/>
          <w:szCs w:val="28"/>
        </w:rPr>
        <w:t xml:space="preserve"> công cụ chuyể</w:t>
      </w:r>
      <w:r w:rsidR="00841434" w:rsidRPr="00CC0061">
        <w:rPr>
          <w:rFonts w:ascii="Times New Roman" w:eastAsia="Times New Roman" w:hAnsi="Times New Roman" w:cs="Times New Roman"/>
          <w:sz w:val="28"/>
          <w:szCs w:val="28"/>
        </w:rPr>
        <w:t>n nhượng</w:t>
      </w:r>
      <w:r w:rsidR="00841434" w:rsidRPr="00CC0061">
        <w:rPr>
          <w:rFonts w:ascii="Times New Roman" w:eastAsia="Times New Roman" w:hAnsi="Times New Roman" w:cs="Times New Roman"/>
          <w:sz w:val="28"/>
          <w:szCs w:val="28"/>
          <w:lang w:val="en-US"/>
        </w:rPr>
        <w:t xml:space="preserve">, </w:t>
      </w:r>
      <w:r w:rsidR="00841434" w:rsidRPr="00CC0061">
        <w:rPr>
          <w:rFonts w:ascii="Times New Roman" w:eastAsia="Times New Roman" w:hAnsi="Times New Roman" w:cs="Times New Roman"/>
          <w:sz w:val="28"/>
          <w:szCs w:val="28"/>
        </w:rPr>
        <w:t>kỳ phiếu, tín phiếu</w:t>
      </w:r>
      <w:r w:rsidR="00841434" w:rsidRPr="00CC0061">
        <w:rPr>
          <w:rFonts w:ascii="Times New Roman" w:eastAsia="Times New Roman" w:hAnsi="Times New Roman" w:cs="Times New Roman"/>
          <w:sz w:val="28"/>
          <w:szCs w:val="28"/>
          <w:lang w:val="en-US"/>
        </w:rPr>
        <w:t>, trái phiếu</w:t>
      </w:r>
      <w:r w:rsidR="00841434" w:rsidRPr="00CC0061">
        <w:rPr>
          <w:rFonts w:ascii="Times New Roman" w:eastAsia="Times New Roman" w:hAnsi="Times New Roman" w:cs="Times New Roman"/>
          <w:sz w:val="28"/>
          <w:szCs w:val="28"/>
        </w:rPr>
        <w:t xml:space="preserve"> </w:t>
      </w:r>
      <w:r w:rsidRPr="00CC0061">
        <w:rPr>
          <w:rFonts w:ascii="Times New Roman" w:eastAsia="Times New Roman" w:hAnsi="Times New Roman" w:cs="Times New Roman"/>
          <w:sz w:val="28"/>
          <w:szCs w:val="28"/>
        </w:rPr>
        <w:t>do chính tổ chức tín dụng phát hành; số dư tiền gửi, chứng chỉ tiền gửi, kỳ phiếu, tín phiếu do tổ chức tín dụng, chi nhánh ngân hàng nước ngoài khác phát hành:</w:t>
      </w:r>
    </w:p>
    <w:p w14:paraId="2E38316C"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Có thời hạn còn lại dưới 1 năm: 95%;</w:t>
      </w:r>
    </w:p>
    <w:p w14:paraId="3CCCBABA"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Có thời hạn còn lại từ 1 năm đến 5 năm: 85%;</w:t>
      </w:r>
    </w:p>
    <w:p w14:paraId="152437C8"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Có thời hạn còn lại trên 5 năm: 80%.</w:t>
      </w:r>
    </w:p>
    <w:p w14:paraId="297CAEB4"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d) Chứng khoán do các tổ chức tín dụng khác phát hành được niêm yết trên Sở giao dịch chứng khoán: 70%;</w:t>
      </w:r>
    </w:p>
    <w:p w14:paraId="2F46E7F6"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đ) Chứng khoán do doanh nghiệp (trừ tổ chức tín dụng) phát hành được niêm yết trên Sở giao dịch chứng khoán: 65%;</w:t>
      </w:r>
    </w:p>
    <w:p w14:paraId="4E3DA787"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e) Chứng khoán chưa được niêm yết trên Sở giao dịch chứng khoán, giấy tờ có giá,</w:t>
      </w:r>
      <w:r w:rsidR="005C25EC" w:rsidRPr="00CC0061">
        <w:rPr>
          <w:rFonts w:ascii="Times New Roman" w:eastAsia="Times New Roman" w:hAnsi="Times New Roman" w:cs="Times New Roman"/>
          <w:sz w:val="28"/>
          <w:szCs w:val="28"/>
        </w:rPr>
        <w:t xml:space="preserve"> trừ các khoản quy định tại </w:t>
      </w:r>
      <w:r w:rsidR="005C25EC" w:rsidRPr="00CC0061">
        <w:rPr>
          <w:rFonts w:ascii="Times New Roman" w:eastAsia="Times New Roman" w:hAnsi="Times New Roman" w:cs="Times New Roman"/>
          <w:sz w:val="28"/>
          <w:szCs w:val="28"/>
          <w:lang w:val="en-US"/>
        </w:rPr>
        <w:t>điểm</w:t>
      </w:r>
      <w:r w:rsidRPr="00CC0061">
        <w:rPr>
          <w:rFonts w:ascii="Times New Roman" w:eastAsia="Times New Roman" w:hAnsi="Times New Roman" w:cs="Times New Roman"/>
          <w:sz w:val="28"/>
          <w:szCs w:val="28"/>
        </w:rPr>
        <w:t xml:space="preserve"> c </w:t>
      </w:r>
      <w:r w:rsidR="00901641">
        <w:rPr>
          <w:rFonts w:ascii="Times New Roman" w:eastAsia="Times New Roman" w:hAnsi="Times New Roman" w:cs="Times New Roman"/>
          <w:sz w:val="28"/>
          <w:szCs w:val="28"/>
          <w:lang w:val="en-US"/>
        </w:rPr>
        <w:t>K</w:t>
      </w:r>
      <w:r w:rsidRPr="00CC0061">
        <w:rPr>
          <w:rFonts w:ascii="Times New Roman" w:eastAsia="Times New Roman" w:hAnsi="Times New Roman" w:cs="Times New Roman"/>
          <w:sz w:val="28"/>
          <w:szCs w:val="28"/>
        </w:rPr>
        <w:t>hoản này, do tổ chức tín dụng</w:t>
      </w:r>
      <w:r w:rsidR="005C25EC" w:rsidRPr="00CC0061">
        <w:rPr>
          <w:rFonts w:ascii="Times New Roman" w:eastAsia="Times New Roman" w:hAnsi="Times New Roman" w:cs="Times New Roman"/>
          <w:sz w:val="28"/>
          <w:szCs w:val="28"/>
          <w:lang w:val="en-US"/>
        </w:rPr>
        <w:t xml:space="preserve"> khác</w:t>
      </w:r>
      <w:r w:rsidRPr="00CC0061">
        <w:rPr>
          <w:rFonts w:ascii="Times New Roman" w:eastAsia="Times New Roman" w:hAnsi="Times New Roman" w:cs="Times New Roman"/>
          <w:sz w:val="28"/>
          <w:szCs w:val="28"/>
        </w:rPr>
        <w:t xml:space="preserve"> có đăng ký niêm yết chứng khoán trên Sở giao dịch chứng khoán phát hành: 50%;</w:t>
      </w:r>
    </w:p>
    <w:p w14:paraId="2E50B3BF"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xml:space="preserve">Chứng khoán chưa được niêm yết trên Sở giao dịch chứng khoán, giấy tờ có giá, </w:t>
      </w:r>
      <w:r w:rsidR="005C25EC" w:rsidRPr="00CC0061">
        <w:rPr>
          <w:rFonts w:ascii="Times New Roman" w:eastAsia="Times New Roman" w:hAnsi="Times New Roman" w:cs="Times New Roman"/>
          <w:sz w:val="28"/>
          <w:szCs w:val="28"/>
        </w:rPr>
        <w:t>trừ các khoản quy định tại</w:t>
      </w:r>
      <w:r w:rsidR="005C25EC" w:rsidRPr="00CC0061">
        <w:rPr>
          <w:rFonts w:ascii="Times New Roman" w:eastAsia="Times New Roman" w:hAnsi="Times New Roman" w:cs="Times New Roman"/>
          <w:sz w:val="28"/>
          <w:szCs w:val="28"/>
          <w:lang w:val="en-US"/>
        </w:rPr>
        <w:t xml:space="preserve"> điểm </w:t>
      </w:r>
      <w:r w:rsidR="00901641">
        <w:rPr>
          <w:rFonts w:ascii="Times New Roman" w:eastAsia="Times New Roman" w:hAnsi="Times New Roman" w:cs="Times New Roman"/>
          <w:sz w:val="28"/>
          <w:szCs w:val="28"/>
        </w:rPr>
        <w:t xml:space="preserve">c </w:t>
      </w:r>
      <w:r w:rsidR="00901641">
        <w:rPr>
          <w:rFonts w:ascii="Times New Roman" w:eastAsia="Times New Roman" w:hAnsi="Times New Roman" w:cs="Times New Roman"/>
          <w:sz w:val="28"/>
          <w:szCs w:val="28"/>
          <w:lang w:val="en-US"/>
        </w:rPr>
        <w:t>K</w:t>
      </w:r>
      <w:r w:rsidRPr="00CC0061">
        <w:rPr>
          <w:rFonts w:ascii="Times New Roman" w:eastAsia="Times New Roman" w:hAnsi="Times New Roman" w:cs="Times New Roman"/>
          <w:sz w:val="28"/>
          <w:szCs w:val="28"/>
        </w:rPr>
        <w:t xml:space="preserve">hoản này, do tổ chức tín dụng </w:t>
      </w:r>
      <w:r w:rsidR="005C25EC" w:rsidRPr="00CC0061">
        <w:rPr>
          <w:rFonts w:ascii="Times New Roman" w:eastAsia="Times New Roman" w:hAnsi="Times New Roman" w:cs="Times New Roman"/>
          <w:sz w:val="28"/>
          <w:szCs w:val="28"/>
          <w:lang w:val="en-US"/>
        </w:rPr>
        <w:t>khác</w:t>
      </w:r>
      <w:r w:rsidRPr="00CC0061">
        <w:rPr>
          <w:rFonts w:ascii="Times New Roman" w:eastAsia="Times New Roman" w:hAnsi="Times New Roman" w:cs="Times New Roman"/>
          <w:sz w:val="28"/>
          <w:szCs w:val="28"/>
        </w:rPr>
        <w:t xml:space="preserve"> không có đăng ký niêm yết chứng khoán trên Sở giao dịch chứng khoán phát hành: 30%;</w:t>
      </w:r>
    </w:p>
    <w:p w14:paraId="690C67B9"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g) Chứng khoán chưa được niêm yết trên Sở giao dịch chứng khoán, giấy tờ có giá do doanh nghiệp có đăng ký niêm yết chứng khoán trên Sở giao dịch chứng khoán phát hành: 30%;</w:t>
      </w:r>
    </w:p>
    <w:p w14:paraId="1BF40D09"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Chứng khoán chưa được niêm yết trên Sở giao dịch chứng khoán, giấy tờ có giá do doanh nghiệp không có đăng ký niêm yết chứng khoán trên Sở giao dịch chứng khoán phát hành: 10%;</w:t>
      </w:r>
    </w:p>
    <w:p w14:paraId="7CA4CA2A"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h) Bất động sản: 50%;</w:t>
      </w:r>
    </w:p>
    <w:p w14:paraId="58EC9A6D"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i) Các loại tài sản bảo đảm khác: 30%.</w:t>
      </w:r>
    </w:p>
    <w:p w14:paraId="07ED3A77"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color w:val="000000" w:themeColor="text1"/>
          <w:sz w:val="28"/>
          <w:szCs w:val="28"/>
        </w:rPr>
      </w:pPr>
      <w:r w:rsidRPr="00CC0061">
        <w:rPr>
          <w:rFonts w:ascii="Times New Roman" w:eastAsia="Times New Roman" w:hAnsi="Times New Roman" w:cs="Times New Roman"/>
          <w:color w:val="000000" w:themeColor="text1"/>
          <w:sz w:val="28"/>
          <w:szCs w:val="28"/>
        </w:rPr>
        <w:t xml:space="preserve">7. Tổ chức tín dụng trong thời gian triển khai phương án cơ cấu lại, hợp nhất, sáp nhập theo Đề án cơ cấu lại tổ chức tín dụng, gắn với xử lý nợ xấu được Thủ </w:t>
      </w:r>
      <w:r w:rsidRPr="00CC0061">
        <w:rPr>
          <w:rFonts w:ascii="Times New Roman" w:eastAsia="Times New Roman" w:hAnsi="Times New Roman" w:cs="Times New Roman"/>
          <w:color w:val="000000" w:themeColor="text1"/>
          <w:sz w:val="28"/>
          <w:szCs w:val="28"/>
        </w:rPr>
        <w:lastRenderedPageBreak/>
        <w:t>tướng Chính phủ phê duyệt</w:t>
      </w:r>
      <w:r w:rsidR="005C25EC" w:rsidRPr="00CC0061">
        <w:rPr>
          <w:rFonts w:ascii="Times New Roman" w:eastAsia="Times New Roman" w:hAnsi="Times New Roman" w:cs="Times New Roman"/>
          <w:color w:val="000000" w:themeColor="text1"/>
          <w:sz w:val="28"/>
          <w:szCs w:val="28"/>
          <w:lang w:val="en-US"/>
        </w:rPr>
        <w:t>,</w:t>
      </w:r>
      <w:r w:rsidRPr="00CC0061">
        <w:rPr>
          <w:rFonts w:ascii="Times New Roman" w:eastAsia="Times New Roman" w:hAnsi="Times New Roman" w:cs="Times New Roman"/>
          <w:color w:val="000000" w:themeColor="text1"/>
          <w:sz w:val="28"/>
          <w:szCs w:val="28"/>
        </w:rPr>
        <w:t xml:space="preserve"> có khó khăn về tài chính báo cáo Ngân hàng Nhà nước xem xét, quyết định việc trích lập dự phòng rủi ro; trường hợp số tiền trích lập dự phòng rủi ro lớn hơn chênh lệch thu chi từ kết quả kinh doanh hàng năm (chưa bao gồm số tiền dự phòng rủi ro đã tạm trích trong năm) thì mức trích lập dự phòng rủi ro tối thiểu bằng mức chênh lệch thu ch</w:t>
      </w:r>
      <w:bookmarkStart w:id="15" w:name="bookmark=id.4i7ojhp" w:colFirst="0" w:colLast="0"/>
      <w:bookmarkEnd w:id="15"/>
      <w:r w:rsidRPr="00CC0061">
        <w:rPr>
          <w:rFonts w:ascii="Times New Roman" w:eastAsia="Times New Roman" w:hAnsi="Times New Roman" w:cs="Times New Roman"/>
          <w:color w:val="000000" w:themeColor="text1"/>
          <w:sz w:val="28"/>
          <w:szCs w:val="28"/>
        </w:rPr>
        <w:t>i và tổ chức tín dụng phải theo dõi số tiền phải trích lập dự phòng</w:t>
      </w:r>
      <w:r w:rsidR="00D52D3D" w:rsidRPr="00CC0061">
        <w:rPr>
          <w:rFonts w:ascii="Times New Roman" w:eastAsia="Times New Roman" w:hAnsi="Times New Roman" w:cs="Times New Roman"/>
          <w:color w:val="000000" w:themeColor="text1"/>
          <w:sz w:val="28"/>
          <w:szCs w:val="28"/>
          <w:lang w:val="en-US"/>
        </w:rPr>
        <w:t xml:space="preserve"> rủi ro</w:t>
      </w:r>
      <w:r w:rsidRPr="00CC0061">
        <w:rPr>
          <w:rFonts w:ascii="Times New Roman" w:eastAsia="Times New Roman" w:hAnsi="Times New Roman" w:cs="Times New Roman"/>
          <w:color w:val="000000" w:themeColor="text1"/>
          <w:sz w:val="28"/>
          <w:szCs w:val="28"/>
        </w:rPr>
        <w:t xml:space="preserve"> đầy đủ theo quy định tại Thông tư này.</w:t>
      </w:r>
    </w:p>
    <w:p w14:paraId="32E8AC2A" w14:textId="77777777" w:rsidR="00133F17" w:rsidRPr="00CC0061" w:rsidRDefault="008842DA" w:rsidP="00DF2532">
      <w:pPr>
        <w:widowControl/>
        <w:spacing w:before="120" w:after="120" w:line="240" w:lineRule="auto"/>
        <w:ind w:left="-2" w:firstLineChars="202" w:firstLine="568"/>
        <w:jc w:val="both"/>
        <w:rPr>
          <w:rFonts w:ascii="Times New Roman" w:eastAsia="Times New Roman" w:hAnsi="Times New Roman" w:cs="Times New Roman"/>
          <w:color w:val="000000" w:themeColor="text1"/>
          <w:sz w:val="28"/>
          <w:szCs w:val="28"/>
        </w:rPr>
      </w:pPr>
      <w:r w:rsidRPr="00CC0061">
        <w:rPr>
          <w:rFonts w:ascii="Times New Roman" w:eastAsia="Times New Roman" w:hAnsi="Times New Roman" w:cs="Times New Roman"/>
          <w:b/>
          <w:color w:val="000000" w:themeColor="text1"/>
          <w:sz w:val="28"/>
          <w:szCs w:val="28"/>
        </w:rPr>
        <w:t>Điều 13. Mức trích lập dự phòng chung</w:t>
      </w:r>
    </w:p>
    <w:p w14:paraId="2321A54B"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Số tiền dự phòng chung phải trích được xác định bằng 0,75% tổng số dư các khoản nợ từ nhóm 1 đến nhóm 4, trừ các khoản sau đây:</w:t>
      </w:r>
    </w:p>
    <w:p w14:paraId="5CCF0683" w14:textId="77777777" w:rsidR="005C25EC"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lang w:val="en-US"/>
        </w:rPr>
      </w:pPr>
      <w:r w:rsidRPr="00CC0061">
        <w:rPr>
          <w:rFonts w:ascii="Times New Roman" w:eastAsia="Times New Roman" w:hAnsi="Times New Roman" w:cs="Times New Roman"/>
          <w:sz w:val="28"/>
          <w:szCs w:val="28"/>
        </w:rPr>
        <w:t xml:space="preserve">1. </w:t>
      </w:r>
      <w:r w:rsidR="005C25EC" w:rsidRPr="00CC0061">
        <w:rPr>
          <w:rFonts w:ascii="Times New Roman" w:eastAsia="Times New Roman" w:hAnsi="Times New Roman" w:cs="Times New Roman"/>
          <w:sz w:val="28"/>
          <w:szCs w:val="28"/>
          <w:lang w:val="en-US"/>
        </w:rPr>
        <w:t>T</w:t>
      </w:r>
      <w:r w:rsidR="005C25EC" w:rsidRPr="00CC0061">
        <w:rPr>
          <w:rFonts w:ascii="Times New Roman" w:eastAsia="Times New Roman" w:hAnsi="Times New Roman" w:cs="Times New Roman"/>
          <w:sz w:val="28"/>
          <w:szCs w:val="28"/>
        </w:rPr>
        <w:t xml:space="preserve">iền </w:t>
      </w:r>
      <w:r w:rsidR="005C25EC" w:rsidRPr="00CC0061">
        <w:rPr>
          <w:rFonts w:ascii="Times New Roman" w:eastAsia="Times New Roman" w:hAnsi="Times New Roman" w:cs="Times New Roman"/>
          <w:sz w:val="28"/>
          <w:szCs w:val="28"/>
          <w:lang w:val="en-US"/>
        </w:rPr>
        <w:t xml:space="preserve">gửi </w:t>
      </w:r>
      <w:r w:rsidR="005C25EC" w:rsidRPr="00CC0061">
        <w:rPr>
          <w:rFonts w:ascii="Times New Roman" w:eastAsia="Times New Roman" w:hAnsi="Times New Roman" w:cs="Times New Roman"/>
          <w:sz w:val="28"/>
          <w:szCs w:val="28"/>
        </w:rPr>
        <w:t xml:space="preserve">tại tổ chức tín dụng, chi nhánh ngân hàng nước ngoài theo quy định của pháp luật và </w:t>
      </w:r>
      <w:r w:rsidR="005C25EC" w:rsidRPr="00CC0061">
        <w:rPr>
          <w:rFonts w:ascii="Times New Roman" w:eastAsia="Times New Roman" w:hAnsi="Times New Roman" w:cs="Times New Roman"/>
          <w:sz w:val="28"/>
          <w:szCs w:val="28"/>
          <w:lang w:val="en-US"/>
        </w:rPr>
        <w:t xml:space="preserve">tiền </w:t>
      </w:r>
      <w:r w:rsidR="005C25EC" w:rsidRPr="00CC0061">
        <w:rPr>
          <w:rFonts w:ascii="Times New Roman" w:eastAsia="Times New Roman" w:hAnsi="Times New Roman" w:cs="Times New Roman"/>
          <w:sz w:val="28"/>
          <w:szCs w:val="28"/>
        </w:rPr>
        <w:t>gửi tại tổ chức tín dụng ở nước ngoài</w:t>
      </w:r>
      <w:r w:rsidR="005C25EC" w:rsidRPr="00CC0061">
        <w:rPr>
          <w:rFonts w:ascii="Times New Roman" w:eastAsia="Times New Roman" w:hAnsi="Times New Roman" w:cs="Times New Roman"/>
          <w:sz w:val="28"/>
          <w:szCs w:val="28"/>
          <w:lang w:val="en-US"/>
        </w:rPr>
        <w:t>.</w:t>
      </w:r>
    </w:p>
    <w:p w14:paraId="0D39A862"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lang w:val="en-US"/>
        </w:rPr>
      </w:pPr>
      <w:r w:rsidRPr="00CC0061">
        <w:rPr>
          <w:rFonts w:ascii="Times New Roman" w:eastAsia="Times New Roman" w:hAnsi="Times New Roman" w:cs="Times New Roman"/>
          <w:sz w:val="28"/>
          <w:szCs w:val="28"/>
        </w:rPr>
        <w:t>2. Khoản cho vay, mua có kỳ hạn giấy tờ có giá giữa các tổ chức tín dụng, chi nhánh ng</w:t>
      </w:r>
      <w:r w:rsidR="00B40011" w:rsidRPr="00CC0061">
        <w:rPr>
          <w:rFonts w:ascii="Times New Roman" w:eastAsia="Times New Roman" w:hAnsi="Times New Roman" w:cs="Times New Roman"/>
          <w:sz w:val="28"/>
          <w:szCs w:val="28"/>
        </w:rPr>
        <w:t>ân hàng nước ngoài tại Việt Nam</w:t>
      </w:r>
      <w:r w:rsidR="00B40011" w:rsidRPr="00CC0061">
        <w:rPr>
          <w:rFonts w:ascii="Times New Roman" w:eastAsia="Times New Roman" w:hAnsi="Times New Roman" w:cs="Times New Roman"/>
          <w:sz w:val="28"/>
          <w:szCs w:val="28"/>
          <w:lang w:val="en-US"/>
        </w:rPr>
        <w:t>.</w:t>
      </w:r>
    </w:p>
    <w:p w14:paraId="77FD7471"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lang w:val="en-US"/>
        </w:rPr>
      </w:pPr>
      <w:r w:rsidRPr="00CC0061">
        <w:rPr>
          <w:rFonts w:ascii="Times New Roman" w:eastAsia="Times New Roman" w:hAnsi="Times New Roman" w:cs="Times New Roman"/>
          <w:sz w:val="28"/>
          <w:szCs w:val="28"/>
        </w:rPr>
        <w:t xml:space="preserve">3. Khoản mua kỳ phiếu, tín phiếu, chứng chỉ tiền gửi, trái phiếu do tổ chức tín dụng, chi nhánh ngân hàng nước </w:t>
      </w:r>
      <w:r w:rsidR="00B40011" w:rsidRPr="00CC0061">
        <w:rPr>
          <w:rFonts w:ascii="Times New Roman" w:eastAsia="Times New Roman" w:hAnsi="Times New Roman" w:cs="Times New Roman"/>
          <w:sz w:val="28"/>
          <w:szCs w:val="28"/>
        </w:rPr>
        <w:t>ngoài khác phát hành trong nước</w:t>
      </w:r>
      <w:r w:rsidR="00B40011" w:rsidRPr="00CC0061">
        <w:rPr>
          <w:rFonts w:ascii="Times New Roman" w:eastAsia="Times New Roman" w:hAnsi="Times New Roman" w:cs="Times New Roman"/>
          <w:sz w:val="28"/>
          <w:szCs w:val="28"/>
          <w:lang w:val="en-US"/>
        </w:rPr>
        <w:t>.</w:t>
      </w:r>
    </w:p>
    <w:p w14:paraId="5168FFC5"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4. Kho</w:t>
      </w:r>
      <w:r w:rsidR="005C25EC" w:rsidRPr="00CC0061">
        <w:rPr>
          <w:rFonts w:ascii="Times New Roman" w:eastAsia="Times New Roman" w:hAnsi="Times New Roman" w:cs="Times New Roman"/>
          <w:sz w:val="28"/>
          <w:szCs w:val="28"/>
        </w:rPr>
        <w:t xml:space="preserve">ản mua bán lại </w:t>
      </w:r>
      <w:r w:rsidR="005C25EC" w:rsidRPr="00CC0061">
        <w:rPr>
          <w:rFonts w:ascii="Times New Roman" w:eastAsia="Times New Roman" w:hAnsi="Times New Roman" w:cs="Times New Roman"/>
          <w:sz w:val="28"/>
          <w:szCs w:val="28"/>
          <w:lang w:val="en-US"/>
        </w:rPr>
        <w:t>t</w:t>
      </w:r>
      <w:r w:rsidRPr="00CC0061">
        <w:rPr>
          <w:rFonts w:ascii="Times New Roman" w:eastAsia="Times New Roman" w:hAnsi="Times New Roman" w:cs="Times New Roman"/>
          <w:sz w:val="28"/>
          <w:szCs w:val="28"/>
        </w:rPr>
        <w:t>rái phiếu Chính phủ theo quy định tại điểm l khoản 1 Điều 1 Thông tư này.</w:t>
      </w:r>
    </w:p>
    <w:p w14:paraId="442917FC" w14:textId="77777777" w:rsidR="00133F17" w:rsidRPr="00CC0061" w:rsidRDefault="008842DA" w:rsidP="00DF2532">
      <w:pPr>
        <w:widowControl/>
        <w:spacing w:before="120" w:after="120" w:line="240" w:lineRule="auto"/>
        <w:ind w:left="-2" w:firstLineChars="202" w:firstLine="568"/>
        <w:jc w:val="both"/>
        <w:rPr>
          <w:rFonts w:ascii="Times New Roman" w:eastAsia="Times New Roman" w:hAnsi="Times New Roman" w:cs="Times New Roman"/>
          <w:sz w:val="28"/>
          <w:szCs w:val="28"/>
        </w:rPr>
      </w:pPr>
      <w:r w:rsidRPr="00CC0061">
        <w:rPr>
          <w:rFonts w:ascii="Times New Roman" w:eastAsia="Times New Roman" w:hAnsi="Times New Roman" w:cs="Times New Roman"/>
          <w:b/>
          <w:sz w:val="28"/>
          <w:szCs w:val="28"/>
        </w:rPr>
        <w:t>Điều 14. Bổ sung và hoàn nhập số tiền dự phòng</w:t>
      </w:r>
    </w:p>
    <w:p w14:paraId="7789FC34"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1. Trường hợp số tiền dự phòng cụ thể và dự phòng chung còn lại của kỳ kế toán trước nhỏ hơn số tiền dự phòng cụ thể và dự phòng chung phải trích của kỳ kế toán trích lập, tổ chức tín dụng, chi nhánh ngân hàng nước ngoài phải trích bổ sung phần chênh lệch thiếu.</w:t>
      </w:r>
    </w:p>
    <w:p w14:paraId="039D590C" w14:textId="77777777" w:rsidR="00133F17" w:rsidRPr="00CC0061" w:rsidRDefault="008842DA" w:rsidP="00DF2532">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2. Trường hợp số tiền dự phòng cụ thể và dự phòng chung còn lại của kỳ kế toán trước lớn hơn số tiền dự phòng cụ thể và dự phòng chung phải trích của kỳ kế toán trích lập, tổ chức tín dụng, chi nhánh ngân hàng nước ngoài phải hoàn nhập phần chênh lệch thừa.</w:t>
      </w:r>
    </w:p>
    <w:p w14:paraId="466DC21A" w14:textId="77777777" w:rsidR="00133F17" w:rsidRPr="00CC0061" w:rsidRDefault="008842DA" w:rsidP="005449B2">
      <w:pPr>
        <w:widowControl/>
        <w:spacing w:before="120" w:after="120" w:line="240" w:lineRule="auto"/>
        <w:ind w:left="-2" w:firstLineChars="0" w:firstLine="2"/>
        <w:jc w:val="center"/>
        <w:rPr>
          <w:rFonts w:ascii="Times New Roman" w:eastAsia="Times New Roman" w:hAnsi="Times New Roman" w:cs="Times New Roman"/>
          <w:sz w:val="28"/>
          <w:szCs w:val="28"/>
        </w:rPr>
      </w:pPr>
      <w:r w:rsidRPr="00CC0061">
        <w:rPr>
          <w:rFonts w:ascii="Times New Roman" w:eastAsia="Times New Roman" w:hAnsi="Times New Roman" w:cs="Times New Roman"/>
          <w:b/>
          <w:sz w:val="28"/>
          <w:szCs w:val="28"/>
        </w:rPr>
        <w:t>Mục 3</w:t>
      </w:r>
    </w:p>
    <w:p w14:paraId="7BBC47BE" w14:textId="77777777" w:rsidR="00133F17" w:rsidRPr="00CC0061" w:rsidRDefault="008842DA" w:rsidP="005449B2">
      <w:pPr>
        <w:widowControl/>
        <w:spacing w:before="120" w:after="120" w:line="240" w:lineRule="auto"/>
        <w:ind w:left="-2" w:firstLineChars="0" w:firstLine="2"/>
        <w:jc w:val="center"/>
        <w:rPr>
          <w:rFonts w:ascii="Times New Roman" w:eastAsia="Times New Roman" w:hAnsi="Times New Roman" w:cs="Times New Roman"/>
          <w:sz w:val="28"/>
          <w:szCs w:val="28"/>
        </w:rPr>
      </w:pPr>
      <w:r w:rsidRPr="00CC0061">
        <w:rPr>
          <w:rFonts w:ascii="Times New Roman" w:eastAsia="Times New Roman" w:hAnsi="Times New Roman" w:cs="Times New Roman"/>
          <w:b/>
          <w:sz w:val="28"/>
          <w:szCs w:val="28"/>
        </w:rPr>
        <w:t>SỬ DỤNG DỰ PHÒNG RỦI RO</w:t>
      </w:r>
      <w:bookmarkStart w:id="16" w:name="bookmark=id.3whwml4" w:colFirst="0" w:colLast="0"/>
      <w:bookmarkEnd w:id="16"/>
    </w:p>
    <w:p w14:paraId="01193E3C" w14:textId="77777777" w:rsidR="00133F17" w:rsidRPr="00CC0061" w:rsidRDefault="008842DA" w:rsidP="00A42E2F">
      <w:pPr>
        <w:widowControl/>
        <w:spacing w:before="120" w:after="120" w:line="240" w:lineRule="auto"/>
        <w:ind w:left="-2" w:firstLineChars="236" w:firstLine="663"/>
        <w:jc w:val="both"/>
        <w:rPr>
          <w:rFonts w:ascii="Times New Roman" w:eastAsia="Times New Roman" w:hAnsi="Times New Roman" w:cs="Times New Roman"/>
          <w:sz w:val="28"/>
          <w:szCs w:val="28"/>
        </w:rPr>
      </w:pPr>
      <w:r w:rsidRPr="00CC0061">
        <w:rPr>
          <w:rFonts w:ascii="Times New Roman" w:eastAsia="Times New Roman" w:hAnsi="Times New Roman" w:cs="Times New Roman"/>
          <w:b/>
          <w:sz w:val="28"/>
          <w:szCs w:val="28"/>
        </w:rPr>
        <w:t>Điều 15. Hội đồng xử lý rủi ro</w:t>
      </w:r>
    </w:p>
    <w:p w14:paraId="4075412A" w14:textId="77777777" w:rsidR="00133F17" w:rsidRPr="00CC0061" w:rsidRDefault="008842DA" w:rsidP="00DF2532">
      <w:pPr>
        <w:widowControl/>
        <w:spacing w:before="120" w:after="120" w:line="240" w:lineRule="auto"/>
        <w:ind w:left="-2" w:firstLineChars="203" w:firstLine="568"/>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1. Thành phần của Hội đồng xử lý rủi ro:</w:t>
      </w:r>
    </w:p>
    <w:p w14:paraId="6D51B907" w14:textId="77777777" w:rsidR="00133F17" w:rsidRPr="00CC0061" w:rsidRDefault="00FB2538" w:rsidP="00DF2532">
      <w:pPr>
        <w:widowControl/>
        <w:spacing w:before="120" w:after="120" w:line="240" w:lineRule="auto"/>
        <w:ind w:left="-2" w:firstLineChars="203" w:firstLine="568"/>
        <w:jc w:val="both"/>
        <w:rPr>
          <w:rFonts w:ascii="Times New Roman" w:eastAsia="Times New Roman" w:hAnsi="Times New Roman" w:cs="Times New Roman"/>
          <w:sz w:val="28"/>
          <w:szCs w:val="28"/>
          <w:lang w:val="en-US"/>
        </w:rPr>
      </w:pPr>
      <w:r w:rsidRPr="00CC0061">
        <w:rPr>
          <w:rFonts w:ascii="Times New Roman" w:eastAsia="Times New Roman" w:hAnsi="Times New Roman" w:cs="Times New Roman"/>
          <w:sz w:val="28"/>
          <w:szCs w:val="28"/>
          <w:lang w:val="en-US"/>
        </w:rPr>
        <w:t xml:space="preserve">a) </w:t>
      </w:r>
      <w:r w:rsidR="00237388" w:rsidRPr="00CC0061">
        <w:rPr>
          <w:rFonts w:ascii="Times New Roman" w:eastAsia="Times New Roman" w:hAnsi="Times New Roman" w:cs="Times New Roman"/>
          <w:sz w:val="28"/>
          <w:szCs w:val="28"/>
          <w:lang w:val="en-US"/>
        </w:rPr>
        <w:t>Ngân hàng thương mại</w:t>
      </w:r>
      <w:r w:rsidR="008842DA" w:rsidRPr="00CC0061">
        <w:rPr>
          <w:rFonts w:ascii="Times New Roman" w:eastAsia="Times New Roman" w:hAnsi="Times New Roman" w:cs="Times New Roman"/>
          <w:sz w:val="28"/>
          <w:szCs w:val="28"/>
        </w:rPr>
        <w:t xml:space="preserve"> phải thành lập Hội đồng xử lý rủi ro gồm 01 thành viên là thành viên Hội đồng quản trị hoặc Hội đồng thành viên</w:t>
      </w:r>
      <w:r w:rsidR="0035572B" w:rsidRPr="00CC0061">
        <w:rPr>
          <w:rFonts w:ascii="Times New Roman" w:eastAsia="Times New Roman" w:hAnsi="Times New Roman" w:cs="Times New Roman"/>
          <w:sz w:val="28"/>
          <w:szCs w:val="28"/>
          <w:lang w:val="en-US"/>
        </w:rPr>
        <w:t xml:space="preserve"> </w:t>
      </w:r>
      <w:r w:rsidR="008842DA" w:rsidRPr="00CC0061">
        <w:rPr>
          <w:rFonts w:ascii="Times New Roman" w:eastAsia="Times New Roman" w:hAnsi="Times New Roman" w:cs="Times New Roman"/>
          <w:sz w:val="28"/>
          <w:szCs w:val="28"/>
        </w:rPr>
        <w:t>làm chủ tịch; 01 thành viên</w:t>
      </w:r>
      <w:r w:rsidR="008D30EA" w:rsidRPr="00CC0061">
        <w:rPr>
          <w:rFonts w:ascii="Times New Roman" w:eastAsia="Times New Roman" w:hAnsi="Times New Roman" w:cs="Times New Roman"/>
          <w:sz w:val="28"/>
          <w:szCs w:val="28"/>
          <w:lang w:val="en-US"/>
        </w:rPr>
        <w:t xml:space="preserve"> khác</w:t>
      </w:r>
      <w:r w:rsidR="00A97C24">
        <w:rPr>
          <w:rFonts w:ascii="Times New Roman" w:eastAsia="Times New Roman" w:hAnsi="Times New Roman" w:cs="Times New Roman"/>
          <w:sz w:val="28"/>
          <w:szCs w:val="28"/>
        </w:rPr>
        <w:t xml:space="preserve"> là thành viên của Ủ</w:t>
      </w:r>
      <w:r w:rsidR="008842DA" w:rsidRPr="00CC0061">
        <w:rPr>
          <w:rFonts w:ascii="Times New Roman" w:eastAsia="Times New Roman" w:hAnsi="Times New Roman" w:cs="Times New Roman"/>
          <w:sz w:val="28"/>
          <w:szCs w:val="28"/>
        </w:rPr>
        <w:t>y ban quản lý rủi ro; 01 thành viên</w:t>
      </w:r>
      <w:r w:rsidR="008D30EA" w:rsidRPr="00CC0061">
        <w:rPr>
          <w:rFonts w:ascii="Times New Roman" w:eastAsia="Times New Roman" w:hAnsi="Times New Roman" w:cs="Times New Roman"/>
          <w:sz w:val="28"/>
          <w:szCs w:val="28"/>
          <w:lang w:val="en-US"/>
        </w:rPr>
        <w:t xml:space="preserve"> khác</w:t>
      </w:r>
      <w:r w:rsidR="008842DA" w:rsidRPr="00CC0061">
        <w:rPr>
          <w:rFonts w:ascii="Times New Roman" w:eastAsia="Times New Roman" w:hAnsi="Times New Roman" w:cs="Times New Roman"/>
          <w:sz w:val="28"/>
          <w:szCs w:val="28"/>
        </w:rPr>
        <w:t xml:space="preserve"> là Tổng giám đốc (Giám đốc) và tối thiểu 02 thành viên khác do Hội đồng quản trị,</w:t>
      </w:r>
      <w:r w:rsidR="00237388" w:rsidRPr="00CC0061">
        <w:rPr>
          <w:rFonts w:ascii="Times New Roman" w:eastAsia="Times New Roman" w:hAnsi="Times New Roman" w:cs="Times New Roman"/>
          <w:sz w:val="28"/>
          <w:szCs w:val="28"/>
        </w:rPr>
        <w:t xml:space="preserve"> Hội đồng thành viên quyết định</w:t>
      </w:r>
      <w:r w:rsidR="00237388" w:rsidRPr="00CC0061">
        <w:rPr>
          <w:rFonts w:ascii="Times New Roman" w:eastAsia="Times New Roman" w:hAnsi="Times New Roman" w:cs="Times New Roman"/>
          <w:sz w:val="28"/>
          <w:szCs w:val="28"/>
          <w:lang w:val="en-US"/>
        </w:rPr>
        <w:t>;</w:t>
      </w:r>
    </w:p>
    <w:p w14:paraId="733445DD" w14:textId="77777777" w:rsidR="00133F17" w:rsidRPr="00CC0061" w:rsidRDefault="00FB2538" w:rsidP="00DF2532">
      <w:pPr>
        <w:widowControl/>
        <w:spacing w:before="120" w:after="120" w:line="240" w:lineRule="auto"/>
        <w:ind w:left="-2" w:firstLineChars="203" w:firstLine="568"/>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lang w:val="en-US"/>
        </w:rPr>
        <w:t xml:space="preserve">b) </w:t>
      </w:r>
      <w:r w:rsidR="008842DA" w:rsidRPr="00CC0061">
        <w:rPr>
          <w:rFonts w:ascii="Times New Roman" w:eastAsia="Times New Roman" w:hAnsi="Times New Roman" w:cs="Times New Roman"/>
          <w:sz w:val="28"/>
          <w:szCs w:val="28"/>
        </w:rPr>
        <w:t>Chi nhánh ngân hàng nước ngoài, tổ chức tín dụng phi ngân hàng phải thành lập Hội đồng xử lý rủi ro gồm Tổng giám đốc (Giám đốc) làm chủ tịch và tối thiểu 02 thành viên khác do Tổng giám đốc (Giám đốc) quyết định.</w:t>
      </w:r>
    </w:p>
    <w:p w14:paraId="37692719" w14:textId="77777777" w:rsidR="00133F17" w:rsidRPr="00CC0061" w:rsidRDefault="008842DA" w:rsidP="00DF2532">
      <w:pPr>
        <w:widowControl/>
        <w:spacing w:before="120" w:after="120" w:line="240" w:lineRule="auto"/>
        <w:ind w:left="-2" w:firstLineChars="203" w:firstLine="568"/>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lastRenderedPageBreak/>
        <w:t>2. Trách nhiệm của Hội đồng xử lý rủi ro:</w:t>
      </w:r>
    </w:p>
    <w:p w14:paraId="580DAEA4" w14:textId="77777777" w:rsidR="00133F17" w:rsidRPr="00CC0061" w:rsidRDefault="008842DA" w:rsidP="00DF2532">
      <w:pPr>
        <w:widowControl/>
        <w:spacing w:before="120" w:after="120" w:line="240" w:lineRule="auto"/>
        <w:ind w:left="-2" w:firstLineChars="203" w:firstLine="568"/>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xml:space="preserve">a) Phê duyệt báo cáo tổng hợp toàn hệ thống về kết quả thu hồi nợ đã sử dụng dự phòng </w:t>
      </w:r>
      <w:r w:rsidR="00D33D08" w:rsidRPr="00CC0061">
        <w:rPr>
          <w:rFonts w:ascii="Times New Roman" w:eastAsia="Times New Roman" w:hAnsi="Times New Roman" w:cs="Times New Roman"/>
          <w:sz w:val="28"/>
          <w:szCs w:val="28"/>
          <w:lang w:val="en-US"/>
        </w:rPr>
        <w:t xml:space="preserve">để xử lý </w:t>
      </w:r>
      <w:r w:rsidRPr="00CC0061">
        <w:rPr>
          <w:rFonts w:ascii="Times New Roman" w:eastAsia="Times New Roman" w:hAnsi="Times New Roman" w:cs="Times New Roman"/>
          <w:sz w:val="28"/>
          <w:szCs w:val="28"/>
        </w:rPr>
        <w:t>rủi ro, bao gồm kết quả xử lý tài sản bảo đảm và xác định rõ cơ sở của việc phê duyệt;</w:t>
      </w:r>
    </w:p>
    <w:p w14:paraId="1FF1AB23" w14:textId="77777777" w:rsidR="00133F17" w:rsidRPr="00CC0061" w:rsidRDefault="008842DA" w:rsidP="00DF2532">
      <w:pPr>
        <w:widowControl/>
        <w:spacing w:before="120" w:after="120" w:line="240" w:lineRule="auto"/>
        <w:ind w:left="-2" w:firstLineChars="203" w:firstLine="568"/>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b) Quyết định hoặc phê duyệt việc phân loại nợ, cam kết ngoại bảng, trích lập dự phòng, sử dụng dự phòng</w:t>
      </w:r>
      <w:r w:rsidR="00D33D08" w:rsidRPr="00CC0061">
        <w:rPr>
          <w:rFonts w:ascii="Times New Roman" w:eastAsia="Times New Roman" w:hAnsi="Times New Roman" w:cs="Times New Roman"/>
          <w:sz w:val="28"/>
          <w:szCs w:val="28"/>
          <w:lang w:val="en-US"/>
        </w:rPr>
        <w:t xml:space="preserve"> để xử lý</w:t>
      </w:r>
      <w:r w:rsidRPr="00CC0061">
        <w:rPr>
          <w:rFonts w:ascii="Times New Roman" w:eastAsia="Times New Roman" w:hAnsi="Times New Roman" w:cs="Times New Roman"/>
          <w:sz w:val="28"/>
          <w:szCs w:val="28"/>
        </w:rPr>
        <w:t xml:space="preserve"> rủi ro trong toàn hệ thống;</w:t>
      </w:r>
    </w:p>
    <w:p w14:paraId="153F243A" w14:textId="77777777" w:rsidR="00133F17" w:rsidRPr="00CC0061" w:rsidRDefault="008842DA" w:rsidP="00DF2532">
      <w:pPr>
        <w:widowControl/>
        <w:spacing w:before="120" w:after="120" w:line="240" w:lineRule="auto"/>
        <w:ind w:left="-2" w:firstLineChars="203" w:firstLine="568"/>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c) Quyết định hoặc phê duyệt các biện pháp thu hồi nợ đã được sử dụng dự phòng</w:t>
      </w:r>
      <w:r w:rsidR="008D30EA" w:rsidRPr="00CC0061">
        <w:rPr>
          <w:rFonts w:ascii="Times New Roman" w:eastAsia="Times New Roman" w:hAnsi="Times New Roman" w:cs="Times New Roman"/>
          <w:sz w:val="28"/>
          <w:szCs w:val="28"/>
          <w:lang w:val="en-US"/>
        </w:rPr>
        <w:t xml:space="preserve"> </w:t>
      </w:r>
      <w:r w:rsidR="00D33D08" w:rsidRPr="00CC0061">
        <w:rPr>
          <w:rFonts w:ascii="Times New Roman" w:eastAsia="Times New Roman" w:hAnsi="Times New Roman" w:cs="Times New Roman"/>
          <w:sz w:val="28"/>
          <w:szCs w:val="28"/>
          <w:lang w:val="en-US"/>
        </w:rPr>
        <w:t xml:space="preserve">để xử lý </w:t>
      </w:r>
      <w:r w:rsidR="008D30EA" w:rsidRPr="00CC0061">
        <w:rPr>
          <w:rFonts w:ascii="Times New Roman" w:eastAsia="Times New Roman" w:hAnsi="Times New Roman" w:cs="Times New Roman"/>
          <w:sz w:val="28"/>
          <w:szCs w:val="28"/>
          <w:lang w:val="en-US"/>
        </w:rPr>
        <w:t>rủi ro</w:t>
      </w:r>
      <w:r w:rsidRPr="00CC0061">
        <w:rPr>
          <w:rFonts w:ascii="Times New Roman" w:eastAsia="Times New Roman" w:hAnsi="Times New Roman" w:cs="Times New Roman"/>
          <w:sz w:val="28"/>
          <w:szCs w:val="28"/>
        </w:rPr>
        <w:t xml:space="preserve"> trong toàn hệ thống, bao gồm cả việc xử lý tài sản bảo đảm.</w:t>
      </w:r>
    </w:p>
    <w:p w14:paraId="325D75A0" w14:textId="77777777" w:rsidR="00004BA4" w:rsidRPr="00CC0061" w:rsidRDefault="00004BA4" w:rsidP="00DF2532">
      <w:pPr>
        <w:widowControl/>
        <w:suppressAutoHyphens w:val="0"/>
        <w:spacing w:before="60" w:after="60" w:line="240" w:lineRule="auto"/>
        <w:ind w:leftChars="0" w:left="-2" w:firstLineChars="203" w:firstLine="571"/>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CC0061">
        <w:rPr>
          <w:rFonts w:ascii="Times New Roman" w:eastAsia="Times New Roman" w:hAnsi="Times New Roman" w:cs="Times New Roman"/>
          <w:b/>
          <w:color w:val="auto"/>
          <w:position w:val="0"/>
          <w:sz w:val="28"/>
          <w:szCs w:val="28"/>
          <w:lang w:val="en-US" w:eastAsia="en-US"/>
        </w:rPr>
        <w:t>Điều 16. Nguyên tắc và hồ sơ xử lý rủi ro</w:t>
      </w:r>
    </w:p>
    <w:p w14:paraId="46764993" w14:textId="77777777" w:rsidR="00004BA4" w:rsidRPr="00CC0061" w:rsidRDefault="00004BA4" w:rsidP="00DF2532">
      <w:pPr>
        <w:widowControl/>
        <w:suppressAutoHyphens w:val="0"/>
        <w:spacing w:before="60" w:after="60" w:line="240" w:lineRule="auto"/>
        <w:ind w:leftChars="0" w:left="-2" w:firstLineChars="203" w:firstLine="568"/>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CC0061">
        <w:rPr>
          <w:rFonts w:ascii="Times New Roman" w:eastAsia="Times New Roman" w:hAnsi="Times New Roman" w:cs="Times New Roman"/>
          <w:color w:val="auto"/>
          <w:position w:val="0"/>
          <w:sz w:val="28"/>
          <w:szCs w:val="28"/>
          <w:lang w:val="en-US" w:eastAsia="en-US"/>
        </w:rPr>
        <w:t>1. Tổ chức tín dụng, chi nhánh ngân hàng nướ</w:t>
      </w:r>
      <w:r w:rsidR="008D30EA" w:rsidRPr="00CC0061">
        <w:rPr>
          <w:rFonts w:ascii="Times New Roman" w:eastAsia="Times New Roman" w:hAnsi="Times New Roman" w:cs="Times New Roman"/>
          <w:color w:val="auto"/>
          <w:position w:val="0"/>
          <w:sz w:val="28"/>
          <w:szCs w:val="28"/>
          <w:lang w:val="en-US" w:eastAsia="en-US"/>
        </w:rPr>
        <w:t xml:space="preserve">c ngoài sử dụng dự phòng </w:t>
      </w:r>
      <w:r w:rsidRPr="00CC0061">
        <w:rPr>
          <w:rFonts w:ascii="Times New Roman" w:eastAsia="Times New Roman" w:hAnsi="Times New Roman" w:cs="Times New Roman"/>
          <w:color w:val="auto"/>
          <w:position w:val="0"/>
          <w:sz w:val="28"/>
          <w:szCs w:val="28"/>
          <w:lang w:val="en-US" w:eastAsia="en-US"/>
        </w:rPr>
        <w:t>để xử lý rủi ro trong các trường hợp sau:</w:t>
      </w:r>
    </w:p>
    <w:p w14:paraId="42F16D0F" w14:textId="77777777" w:rsidR="00004BA4" w:rsidRPr="00CC0061" w:rsidRDefault="00004BA4" w:rsidP="00DF2532">
      <w:pPr>
        <w:widowControl/>
        <w:suppressAutoHyphens w:val="0"/>
        <w:spacing w:before="60" w:after="60" w:line="240" w:lineRule="auto"/>
        <w:ind w:leftChars="0" w:left="-2" w:firstLineChars="203" w:firstLine="568"/>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CC0061">
        <w:rPr>
          <w:rFonts w:ascii="Times New Roman" w:eastAsia="Times New Roman" w:hAnsi="Times New Roman" w:cs="Times New Roman"/>
          <w:color w:val="auto"/>
          <w:position w:val="0"/>
          <w:sz w:val="28"/>
          <w:szCs w:val="28"/>
          <w:lang w:val="en-US" w:eastAsia="en-US"/>
        </w:rPr>
        <w:t xml:space="preserve">a) Khách hàng </w:t>
      </w:r>
      <w:r w:rsidR="00901641">
        <w:rPr>
          <w:rFonts w:ascii="Times New Roman" w:eastAsia="Times New Roman" w:hAnsi="Times New Roman" w:cs="Times New Roman"/>
          <w:color w:val="auto"/>
          <w:position w:val="0"/>
          <w:sz w:val="28"/>
          <w:szCs w:val="28"/>
          <w:lang w:val="en-US" w:eastAsia="en-US"/>
        </w:rPr>
        <w:t>là tổ chức bị giải thể, phá sản;</w:t>
      </w:r>
      <w:r w:rsidRPr="00CC0061">
        <w:rPr>
          <w:rFonts w:ascii="Times New Roman" w:eastAsia="Times New Roman" w:hAnsi="Times New Roman" w:cs="Times New Roman"/>
          <w:color w:val="auto"/>
          <w:position w:val="0"/>
          <w:sz w:val="28"/>
          <w:szCs w:val="28"/>
          <w:lang w:val="en-US" w:eastAsia="en-US"/>
        </w:rPr>
        <w:t xml:space="preserve"> cá nhân bị chết, mất tích;</w:t>
      </w:r>
    </w:p>
    <w:p w14:paraId="42F1BE6D" w14:textId="77777777" w:rsidR="00004BA4" w:rsidRPr="00CC0061" w:rsidRDefault="00004BA4" w:rsidP="00DF2532">
      <w:pPr>
        <w:widowControl/>
        <w:suppressAutoHyphens w:val="0"/>
        <w:spacing w:before="60" w:after="60" w:line="240" w:lineRule="auto"/>
        <w:ind w:leftChars="0" w:left="-2" w:firstLineChars="203" w:firstLine="568"/>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CC0061">
        <w:rPr>
          <w:rFonts w:ascii="Times New Roman" w:eastAsia="Times New Roman" w:hAnsi="Times New Roman" w:cs="Times New Roman"/>
          <w:color w:val="auto"/>
          <w:position w:val="0"/>
          <w:sz w:val="28"/>
          <w:szCs w:val="28"/>
          <w:lang w:val="en-US" w:eastAsia="en-US"/>
        </w:rPr>
        <w:t>b) Các kho</w:t>
      </w:r>
      <w:r w:rsidR="008D30EA" w:rsidRPr="00CC0061">
        <w:rPr>
          <w:rFonts w:ascii="Times New Roman" w:eastAsia="Times New Roman" w:hAnsi="Times New Roman" w:cs="Times New Roman"/>
          <w:color w:val="auto"/>
          <w:position w:val="0"/>
          <w:sz w:val="28"/>
          <w:szCs w:val="28"/>
          <w:lang w:val="en-US" w:eastAsia="en-US"/>
        </w:rPr>
        <w:t>ản nợ được phân loại vào nhóm 5.</w:t>
      </w:r>
    </w:p>
    <w:p w14:paraId="4F233D9A" w14:textId="77777777" w:rsidR="00004BA4" w:rsidRPr="00CC0061" w:rsidRDefault="00004BA4" w:rsidP="00DF2532">
      <w:pPr>
        <w:widowControl/>
        <w:suppressAutoHyphens w:val="0"/>
        <w:spacing w:before="60" w:after="60" w:line="240" w:lineRule="auto"/>
        <w:ind w:leftChars="0" w:left="-2" w:firstLineChars="203" w:firstLine="568"/>
        <w:jc w:val="both"/>
        <w:textDirection w:val="lrTb"/>
        <w:textAlignment w:val="auto"/>
        <w:outlineLvl w:val="9"/>
        <w:rPr>
          <w:rFonts w:ascii="Times New Roman" w:eastAsia="Times New Roman" w:hAnsi="Times New Roman" w:cs="Times New Roman"/>
          <w:iCs/>
          <w:color w:val="auto"/>
          <w:position w:val="0"/>
          <w:sz w:val="28"/>
          <w:szCs w:val="28"/>
          <w:lang w:val="en-US" w:eastAsia="en-US"/>
        </w:rPr>
      </w:pPr>
      <w:r w:rsidRPr="00CC0061">
        <w:rPr>
          <w:rFonts w:ascii="Times New Roman" w:eastAsia="Times New Roman" w:hAnsi="Times New Roman" w:cs="Times New Roman"/>
          <w:iCs/>
          <w:color w:val="auto"/>
          <w:position w:val="0"/>
          <w:sz w:val="28"/>
          <w:szCs w:val="28"/>
          <w:lang w:val="en-US" w:eastAsia="en-US"/>
        </w:rPr>
        <w:t xml:space="preserve">2. Tổ chức tín dụng, chi nhánh ngân hàng nước ngoài sử dụng dự phòng để xử lý rủi ro theo nguyên tắc sau: </w:t>
      </w:r>
    </w:p>
    <w:p w14:paraId="15FF2D44" w14:textId="77777777" w:rsidR="00004BA4" w:rsidRPr="00CC0061" w:rsidRDefault="00004BA4" w:rsidP="00DF2532">
      <w:pPr>
        <w:widowControl/>
        <w:suppressAutoHyphens w:val="0"/>
        <w:spacing w:before="60" w:after="60" w:line="240" w:lineRule="auto"/>
        <w:ind w:leftChars="0" w:left="-2" w:firstLineChars="203" w:firstLine="568"/>
        <w:jc w:val="both"/>
        <w:textDirection w:val="lrTb"/>
        <w:textAlignment w:val="auto"/>
        <w:outlineLvl w:val="9"/>
        <w:rPr>
          <w:rFonts w:ascii="Times New Roman" w:eastAsia="Times New Roman" w:hAnsi="Times New Roman" w:cs="Times New Roman"/>
          <w:iCs/>
          <w:color w:val="auto"/>
          <w:position w:val="0"/>
          <w:sz w:val="28"/>
          <w:szCs w:val="28"/>
          <w:lang w:val="en-US" w:eastAsia="en-US"/>
        </w:rPr>
      </w:pPr>
      <w:r w:rsidRPr="00CC0061">
        <w:rPr>
          <w:rFonts w:ascii="Times New Roman" w:eastAsia="Times New Roman" w:hAnsi="Times New Roman" w:cs="Times New Roman"/>
          <w:iCs/>
          <w:color w:val="auto"/>
          <w:position w:val="0"/>
          <w:sz w:val="28"/>
          <w:szCs w:val="28"/>
          <w:lang w:val="en-US" w:eastAsia="en-US"/>
        </w:rPr>
        <w:t xml:space="preserve">a) Đối với trường hợp tổ chức tín dụng, chi nhánh ngân hàng nước ngoài đã xử lý tài sản bảo đảm để thu hồi nợ theo thỏa thuận của các bên, phù hợp với quy định của pháp luật, tổ chức tín dụng, chi nhánh ngân hàng nước ngoài sử dụng dự phòng cụ thể để xử lý rủi ro đối với </w:t>
      </w:r>
      <w:r w:rsidR="002D1AED">
        <w:rPr>
          <w:rFonts w:ascii="Times New Roman" w:eastAsia="Times New Roman" w:hAnsi="Times New Roman" w:cs="Times New Roman"/>
          <w:iCs/>
          <w:color w:val="auto"/>
          <w:position w:val="0"/>
          <w:sz w:val="28"/>
          <w:szCs w:val="28"/>
          <w:lang w:val="en-US" w:eastAsia="en-US"/>
        </w:rPr>
        <w:t>số dư nợ còn lại của khoản nợ; t</w:t>
      </w:r>
      <w:r w:rsidRPr="00CC0061">
        <w:rPr>
          <w:rFonts w:ascii="Times New Roman" w:eastAsia="Times New Roman" w:hAnsi="Times New Roman" w:cs="Times New Roman"/>
          <w:iCs/>
          <w:color w:val="auto"/>
          <w:position w:val="0"/>
          <w:sz w:val="28"/>
          <w:szCs w:val="28"/>
          <w:lang w:val="en-US" w:eastAsia="en-US"/>
        </w:rPr>
        <w:t xml:space="preserve">rường hợp sử dụng dự phòng cụ thể không đủ bù đắp rủi ro của khoản nợ thì phải </w:t>
      </w:r>
      <w:r w:rsidR="008D30EA" w:rsidRPr="00CC0061">
        <w:rPr>
          <w:rFonts w:ascii="Times New Roman" w:eastAsia="Times New Roman" w:hAnsi="Times New Roman" w:cs="Times New Roman"/>
          <w:iCs/>
          <w:color w:val="auto"/>
          <w:position w:val="0"/>
          <w:sz w:val="28"/>
          <w:szCs w:val="28"/>
          <w:lang w:val="en-US" w:eastAsia="en-US"/>
        </w:rPr>
        <w:t>sử dụng dự phòng chung để xử lý</w:t>
      </w:r>
      <w:r w:rsidR="002D1AED">
        <w:rPr>
          <w:rFonts w:ascii="Times New Roman" w:eastAsia="Times New Roman" w:hAnsi="Times New Roman" w:cs="Times New Roman"/>
          <w:iCs/>
          <w:color w:val="auto"/>
          <w:position w:val="0"/>
          <w:sz w:val="28"/>
          <w:szCs w:val="28"/>
          <w:lang w:val="en-US" w:eastAsia="en-US"/>
        </w:rPr>
        <w:t xml:space="preserve"> rủi ro</w:t>
      </w:r>
      <w:r w:rsidR="008D30EA" w:rsidRPr="00CC0061">
        <w:rPr>
          <w:rFonts w:ascii="Times New Roman" w:eastAsia="Times New Roman" w:hAnsi="Times New Roman" w:cs="Times New Roman"/>
          <w:iCs/>
          <w:color w:val="auto"/>
          <w:position w:val="0"/>
          <w:sz w:val="28"/>
          <w:szCs w:val="28"/>
          <w:lang w:val="en-US" w:eastAsia="en-US"/>
        </w:rPr>
        <w:t>;</w:t>
      </w:r>
    </w:p>
    <w:p w14:paraId="797847E4" w14:textId="77777777" w:rsidR="00004BA4" w:rsidRPr="00CC0061" w:rsidRDefault="00004BA4" w:rsidP="00DF2532">
      <w:pPr>
        <w:widowControl/>
        <w:suppressAutoHyphens w:val="0"/>
        <w:spacing w:before="60" w:after="60" w:line="240" w:lineRule="auto"/>
        <w:ind w:leftChars="0" w:left="-2" w:firstLineChars="203" w:firstLine="568"/>
        <w:jc w:val="both"/>
        <w:textDirection w:val="lrTb"/>
        <w:textAlignment w:val="auto"/>
        <w:outlineLvl w:val="9"/>
        <w:rPr>
          <w:rFonts w:ascii="Times New Roman" w:eastAsia="Times New Roman" w:hAnsi="Times New Roman" w:cs="Times New Roman"/>
          <w:iCs/>
          <w:color w:val="auto"/>
          <w:position w:val="0"/>
          <w:sz w:val="28"/>
          <w:szCs w:val="28"/>
          <w:lang w:val="en-US" w:eastAsia="en-US"/>
        </w:rPr>
      </w:pPr>
      <w:r w:rsidRPr="00CC0061">
        <w:rPr>
          <w:rFonts w:ascii="Times New Roman" w:eastAsia="Times New Roman" w:hAnsi="Times New Roman" w:cs="Times New Roman"/>
          <w:iCs/>
          <w:color w:val="auto"/>
          <w:position w:val="0"/>
          <w:sz w:val="28"/>
          <w:szCs w:val="28"/>
          <w:lang w:val="en-US" w:eastAsia="en-US"/>
        </w:rPr>
        <w:t>b) Đối với trường hợp tổ chức tín dụng, chi nhánh ngân hàng nước ngoài chưa xử lý tài sản bảo đảm để thu hồi nợ, tổ chức tín dụng, chi nhánh ngân hàng nước ngoài sử dụng dự phòng để xử lý rủi ro theo nguyên tắc sau:</w:t>
      </w:r>
    </w:p>
    <w:p w14:paraId="166AECE4" w14:textId="77777777" w:rsidR="00004BA4" w:rsidRPr="00CC0061" w:rsidRDefault="00004BA4" w:rsidP="00DF2532">
      <w:pPr>
        <w:widowControl/>
        <w:suppressAutoHyphens w:val="0"/>
        <w:spacing w:before="60" w:after="60" w:line="240" w:lineRule="auto"/>
        <w:ind w:leftChars="0" w:left="-2" w:firstLineChars="203" w:firstLine="568"/>
        <w:jc w:val="both"/>
        <w:textDirection w:val="lrTb"/>
        <w:textAlignment w:val="auto"/>
        <w:outlineLvl w:val="9"/>
        <w:rPr>
          <w:rFonts w:ascii="Times New Roman" w:eastAsia="Times New Roman" w:hAnsi="Times New Roman" w:cs="Times New Roman"/>
          <w:iCs/>
          <w:color w:val="auto"/>
          <w:position w:val="0"/>
          <w:sz w:val="28"/>
          <w:szCs w:val="28"/>
          <w:lang w:val="en-US" w:eastAsia="en-US"/>
        </w:rPr>
      </w:pPr>
      <w:r w:rsidRPr="00CC0061">
        <w:rPr>
          <w:rFonts w:ascii="Times New Roman" w:eastAsia="Times New Roman" w:hAnsi="Times New Roman" w:cs="Times New Roman"/>
          <w:iCs/>
          <w:color w:val="auto"/>
          <w:position w:val="0"/>
          <w:sz w:val="28"/>
          <w:szCs w:val="28"/>
          <w:lang w:val="en-US" w:eastAsia="en-US"/>
        </w:rPr>
        <w:t>(i) Sử dụng dự phòng cụ thể trích lập theo quy định tại Điều 12 Thông tư này để xử lý rủi ro đối với khoản nợ đó;</w:t>
      </w:r>
    </w:p>
    <w:p w14:paraId="1F0EB26F" w14:textId="77777777" w:rsidR="00004BA4" w:rsidRPr="00CC0061" w:rsidRDefault="00004BA4" w:rsidP="00DF2532">
      <w:pPr>
        <w:widowControl/>
        <w:suppressAutoHyphens w:val="0"/>
        <w:spacing w:before="60" w:after="60" w:line="240" w:lineRule="auto"/>
        <w:ind w:leftChars="0" w:left="-2" w:firstLineChars="203" w:firstLine="568"/>
        <w:jc w:val="both"/>
        <w:textDirection w:val="lrTb"/>
        <w:textAlignment w:val="auto"/>
        <w:outlineLvl w:val="9"/>
        <w:rPr>
          <w:rFonts w:ascii="Times New Roman" w:eastAsia="Times New Roman" w:hAnsi="Times New Roman" w:cs="Times New Roman"/>
          <w:iCs/>
          <w:color w:val="auto"/>
          <w:position w:val="0"/>
          <w:sz w:val="28"/>
          <w:szCs w:val="28"/>
          <w:lang w:val="en-US" w:eastAsia="en-US"/>
        </w:rPr>
      </w:pPr>
      <w:r w:rsidRPr="00CC0061">
        <w:rPr>
          <w:rFonts w:ascii="Times New Roman" w:eastAsia="Times New Roman" w:hAnsi="Times New Roman" w:cs="Times New Roman"/>
          <w:iCs/>
          <w:color w:val="auto"/>
          <w:position w:val="0"/>
          <w:sz w:val="28"/>
          <w:szCs w:val="28"/>
          <w:lang w:val="en-US" w:eastAsia="en-US"/>
        </w:rPr>
        <w:t>(ii) Khẩn trương tiến hành xử lý tài sản bảo đảm theo thỏa thuận với khách hàng và theo quy định của pháp luật để thu hồi nợ;</w:t>
      </w:r>
    </w:p>
    <w:p w14:paraId="11E00A5E" w14:textId="77777777" w:rsidR="00004BA4" w:rsidRPr="00CC0061" w:rsidRDefault="00004BA4" w:rsidP="00DF2532">
      <w:pPr>
        <w:widowControl/>
        <w:suppressAutoHyphens w:val="0"/>
        <w:spacing w:before="60" w:after="60" w:line="240" w:lineRule="auto"/>
        <w:ind w:leftChars="0" w:left="-2" w:firstLineChars="203" w:firstLine="568"/>
        <w:jc w:val="both"/>
        <w:textDirection w:val="lrTb"/>
        <w:textAlignment w:val="auto"/>
        <w:outlineLvl w:val="9"/>
        <w:rPr>
          <w:rFonts w:ascii="Arial" w:eastAsia="Arial" w:hAnsi="Arial" w:cs="Arial"/>
          <w:iCs/>
          <w:color w:val="auto"/>
          <w:position w:val="0"/>
          <w:sz w:val="20"/>
          <w:szCs w:val="20"/>
          <w:lang w:val="en-US" w:eastAsia="en-US"/>
        </w:rPr>
      </w:pPr>
      <w:r w:rsidRPr="00CC0061">
        <w:rPr>
          <w:rFonts w:ascii="Times New Roman" w:eastAsia="Times New Roman" w:hAnsi="Times New Roman" w:cs="Times New Roman"/>
          <w:iCs/>
          <w:color w:val="auto"/>
          <w:position w:val="0"/>
          <w:sz w:val="28"/>
          <w:szCs w:val="28"/>
          <w:lang w:val="en-US" w:eastAsia="en-US"/>
        </w:rPr>
        <w:t>(iii) Trường hợp sử dụng dự phòng cụ thể và số tiền thu được từ xử lý tài sản bảo đảm không đủ bù đắp rủi ro của khoản nợ thì sử dụng dự phòng chung để xử lý</w:t>
      </w:r>
      <w:r w:rsidR="002D1AED">
        <w:rPr>
          <w:rFonts w:ascii="Times New Roman" w:eastAsia="Times New Roman" w:hAnsi="Times New Roman" w:cs="Times New Roman"/>
          <w:iCs/>
          <w:color w:val="auto"/>
          <w:position w:val="0"/>
          <w:sz w:val="28"/>
          <w:szCs w:val="28"/>
          <w:lang w:val="en-US" w:eastAsia="en-US"/>
        </w:rPr>
        <w:t xml:space="preserve"> rủi ro</w:t>
      </w:r>
      <w:r w:rsidRPr="00CC0061">
        <w:rPr>
          <w:rFonts w:ascii="Times New Roman" w:eastAsia="Times New Roman" w:hAnsi="Times New Roman" w:cs="Times New Roman"/>
          <w:iCs/>
          <w:color w:val="auto"/>
          <w:position w:val="0"/>
          <w:sz w:val="28"/>
          <w:szCs w:val="28"/>
          <w:lang w:val="en-US" w:eastAsia="en-US"/>
        </w:rPr>
        <w:t>.</w:t>
      </w:r>
    </w:p>
    <w:p w14:paraId="5AFA7AE9" w14:textId="77777777" w:rsidR="00004BA4" w:rsidRPr="00CC0061" w:rsidRDefault="00004BA4" w:rsidP="00DF2532">
      <w:pPr>
        <w:widowControl/>
        <w:suppressAutoHyphens w:val="0"/>
        <w:spacing w:before="60" w:after="60" w:line="240" w:lineRule="auto"/>
        <w:ind w:leftChars="0" w:left="0" w:firstLineChars="203" w:firstLine="568"/>
        <w:jc w:val="both"/>
        <w:textDirection w:val="lrTb"/>
        <w:textAlignment w:val="auto"/>
        <w:outlineLvl w:val="9"/>
        <w:rPr>
          <w:rFonts w:ascii="Times New Roman" w:eastAsia="Times New Roman" w:hAnsi="Times New Roman" w:cs="Times New Roman"/>
          <w:iCs/>
          <w:color w:val="auto"/>
          <w:position w:val="0"/>
          <w:sz w:val="28"/>
          <w:szCs w:val="28"/>
          <w:lang w:val="en-US" w:eastAsia="en-US"/>
        </w:rPr>
      </w:pPr>
      <w:r w:rsidRPr="00CC0061">
        <w:rPr>
          <w:rFonts w:ascii="Times New Roman" w:eastAsia="Times New Roman" w:hAnsi="Times New Roman" w:cs="Times New Roman"/>
          <w:iCs/>
          <w:color w:val="auto"/>
          <w:position w:val="0"/>
          <w:sz w:val="28"/>
          <w:szCs w:val="28"/>
          <w:lang w:val="en-US" w:eastAsia="en-US"/>
        </w:rPr>
        <w:t>c) Tổ chức tín dụng, chi nhánh ngân hàng nước ngoài hạch toán ngoại bảng phần dư nợ đã sử dụng dự phòng cụ thể, dự phòng chung để xử lý rủi</w:t>
      </w:r>
      <w:r w:rsidR="00F91FB0">
        <w:rPr>
          <w:rFonts w:ascii="Times New Roman" w:eastAsia="Times New Roman" w:hAnsi="Times New Roman" w:cs="Times New Roman"/>
          <w:iCs/>
          <w:color w:val="auto"/>
          <w:position w:val="0"/>
          <w:sz w:val="28"/>
          <w:szCs w:val="28"/>
          <w:lang w:val="en-US" w:eastAsia="en-US"/>
        </w:rPr>
        <w:t xml:space="preserve"> ro quy định tại các điểm a, b K</w:t>
      </w:r>
      <w:r w:rsidRPr="00CC0061">
        <w:rPr>
          <w:rFonts w:ascii="Times New Roman" w:eastAsia="Times New Roman" w:hAnsi="Times New Roman" w:cs="Times New Roman"/>
          <w:iCs/>
          <w:color w:val="auto"/>
          <w:position w:val="0"/>
          <w:sz w:val="28"/>
          <w:szCs w:val="28"/>
          <w:lang w:val="en-US" w:eastAsia="en-US"/>
        </w:rPr>
        <w:t>hoản này.</w:t>
      </w:r>
    </w:p>
    <w:p w14:paraId="564A106A" w14:textId="77777777" w:rsidR="00004BA4" w:rsidRPr="00CC0061" w:rsidRDefault="00004BA4" w:rsidP="00DF2532">
      <w:pPr>
        <w:widowControl/>
        <w:suppressAutoHyphens w:val="0"/>
        <w:spacing w:before="60" w:after="60" w:line="240" w:lineRule="auto"/>
        <w:ind w:leftChars="0" w:left="0" w:firstLineChars="203" w:firstLine="568"/>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CC0061">
        <w:rPr>
          <w:rFonts w:ascii="Times New Roman" w:eastAsia="Times New Roman" w:hAnsi="Times New Roman" w:cs="Times New Roman"/>
          <w:color w:val="auto"/>
          <w:position w:val="0"/>
          <w:sz w:val="28"/>
          <w:szCs w:val="28"/>
          <w:lang w:val="en-US" w:eastAsia="en-US"/>
        </w:rPr>
        <w:t>3. Việc sử dụng dự phòng để xử lý rủi ro là hình thức thay đổi hạch toán đối với khoản nợ, chuyển khoản nợ được xử lý rủi ro ra hạch toán trên các tài khoản ngoại bảng</w:t>
      </w:r>
      <w:r w:rsidR="0029221C" w:rsidRPr="00CC0061">
        <w:rPr>
          <w:rFonts w:ascii="Times New Roman" w:eastAsia="Times New Roman" w:hAnsi="Times New Roman" w:cs="Times New Roman"/>
          <w:color w:val="auto"/>
          <w:position w:val="0"/>
          <w:sz w:val="28"/>
          <w:szCs w:val="28"/>
          <w:lang w:val="en-US" w:eastAsia="en-US"/>
        </w:rPr>
        <w:t>; là</w:t>
      </w:r>
      <w:r w:rsidRPr="00CC0061">
        <w:rPr>
          <w:rFonts w:ascii="Times New Roman" w:eastAsia="Times New Roman" w:hAnsi="Times New Roman" w:cs="Times New Roman"/>
          <w:color w:val="auto"/>
          <w:position w:val="0"/>
          <w:sz w:val="28"/>
          <w:szCs w:val="28"/>
          <w:lang w:val="en-US" w:eastAsia="en-US"/>
        </w:rPr>
        <w:t xml:space="preserve"> công việc nội bộ của tổ chức tín dụng,</w:t>
      </w:r>
      <w:r w:rsidR="008D30EA" w:rsidRPr="00CC0061">
        <w:rPr>
          <w:rFonts w:ascii="Times New Roman" w:eastAsia="Times New Roman" w:hAnsi="Times New Roman" w:cs="Times New Roman"/>
          <w:color w:val="auto"/>
          <w:position w:val="0"/>
          <w:sz w:val="28"/>
          <w:szCs w:val="28"/>
          <w:lang w:val="en-US" w:eastAsia="en-US"/>
        </w:rPr>
        <w:t xml:space="preserve"> chi nhánh ngân hàng nước ngoài;</w:t>
      </w:r>
      <w:r w:rsidRPr="00CC0061">
        <w:rPr>
          <w:rFonts w:ascii="Times New Roman" w:eastAsia="Times New Roman" w:hAnsi="Times New Roman" w:cs="Times New Roman"/>
          <w:color w:val="auto"/>
          <w:position w:val="0"/>
          <w:sz w:val="28"/>
          <w:szCs w:val="28"/>
          <w:lang w:val="en-US" w:eastAsia="en-US"/>
        </w:rPr>
        <w:t xml:space="preserve"> không làm thay đổi nghĩa vụ trả nợ của khách hàng đối với khoản nợ được sử dụng dự phòng để xử lý rủi ro</w:t>
      </w:r>
      <w:r w:rsidR="00C01CE8" w:rsidRPr="00CC0061">
        <w:rPr>
          <w:rFonts w:ascii="Times New Roman" w:eastAsia="Times New Roman" w:hAnsi="Times New Roman" w:cs="Times New Roman"/>
          <w:color w:val="auto"/>
          <w:position w:val="0"/>
          <w:sz w:val="28"/>
          <w:szCs w:val="28"/>
          <w:lang w:val="en-US" w:eastAsia="en-US"/>
        </w:rPr>
        <w:t xml:space="preserve"> và</w:t>
      </w:r>
      <w:r w:rsidRPr="00CC0061">
        <w:rPr>
          <w:rFonts w:ascii="Times New Roman" w:eastAsia="Times New Roman" w:hAnsi="Times New Roman" w:cs="Times New Roman"/>
          <w:color w:val="auto"/>
          <w:position w:val="0"/>
          <w:sz w:val="28"/>
          <w:szCs w:val="28"/>
          <w:lang w:val="en-US" w:eastAsia="en-US"/>
        </w:rPr>
        <w:t xml:space="preserve"> trách nhiệm của tổ chức, cá nhân liên quan đến khoản nợ. Tổ chức tín dụng, chi nhánh ngân hàng nước ngoài không được thông báo cho khách hàng về việc khoản nợ đã được sử dụng dự phòng để xử lý </w:t>
      </w:r>
      <w:r w:rsidRPr="00CC0061">
        <w:rPr>
          <w:rFonts w:ascii="Times New Roman" w:eastAsia="Times New Roman" w:hAnsi="Times New Roman" w:cs="Times New Roman"/>
          <w:color w:val="auto"/>
          <w:position w:val="0"/>
          <w:sz w:val="28"/>
          <w:szCs w:val="28"/>
          <w:lang w:val="en-US" w:eastAsia="en-US"/>
        </w:rPr>
        <w:lastRenderedPageBreak/>
        <w:t xml:space="preserve">rủi ro. Sau khi xử lý rủi ro, tổ chức tín dụng, chi nhánh ngân hàng nước ngoài phải theo dõi, có các biện pháp thu hồi nợ đầy đủ, triệt để đối với khoản nợ được xử lý rủi ro, </w:t>
      </w:r>
      <w:r w:rsidRPr="00CC0061">
        <w:rPr>
          <w:rFonts w:ascii="Times New Roman" w:eastAsia="Times New Roman" w:hAnsi="Times New Roman" w:cs="Times New Roman"/>
          <w:iCs/>
          <w:color w:val="auto"/>
          <w:position w:val="0"/>
          <w:sz w:val="28"/>
          <w:szCs w:val="28"/>
          <w:lang w:val="en-US" w:eastAsia="en-US"/>
        </w:rPr>
        <w:t xml:space="preserve">trừ trường hợp khoản nợ sau khi xử lý rủi ro được tổ chức tín dụng, chi nhánh ngân hàng nước ngoài bán cho tổ chức, cá nhân, thu được đầy đủ tiền bán </w:t>
      </w:r>
      <w:r w:rsidR="008D30EA" w:rsidRPr="00CC0061">
        <w:rPr>
          <w:rFonts w:ascii="Times New Roman" w:eastAsia="Times New Roman" w:hAnsi="Times New Roman" w:cs="Times New Roman"/>
          <w:iCs/>
          <w:color w:val="auto"/>
          <w:position w:val="0"/>
          <w:sz w:val="28"/>
          <w:szCs w:val="28"/>
          <w:lang w:val="en-US" w:eastAsia="en-US"/>
        </w:rPr>
        <w:t xml:space="preserve">nợ </w:t>
      </w:r>
      <w:r w:rsidRPr="00CC0061">
        <w:rPr>
          <w:rFonts w:ascii="Times New Roman" w:eastAsia="Times New Roman" w:hAnsi="Times New Roman" w:cs="Times New Roman"/>
          <w:iCs/>
          <w:color w:val="auto"/>
          <w:position w:val="0"/>
          <w:sz w:val="28"/>
          <w:szCs w:val="28"/>
          <w:lang w:val="en-US" w:eastAsia="en-US"/>
        </w:rPr>
        <w:t>theo Hợp đồng mua</w:t>
      </w:r>
      <w:r w:rsidR="00B37321" w:rsidRPr="00CC0061">
        <w:rPr>
          <w:rFonts w:ascii="Times New Roman" w:eastAsia="Times New Roman" w:hAnsi="Times New Roman" w:cs="Times New Roman"/>
          <w:iCs/>
          <w:color w:val="auto"/>
          <w:position w:val="0"/>
          <w:sz w:val="28"/>
          <w:szCs w:val="28"/>
          <w:lang w:val="en-US" w:eastAsia="en-US"/>
        </w:rPr>
        <w:t>,</w:t>
      </w:r>
      <w:r w:rsidRPr="00CC0061">
        <w:rPr>
          <w:rFonts w:ascii="Times New Roman" w:eastAsia="Times New Roman" w:hAnsi="Times New Roman" w:cs="Times New Roman"/>
          <w:iCs/>
          <w:color w:val="auto"/>
          <w:position w:val="0"/>
          <w:sz w:val="28"/>
          <w:szCs w:val="28"/>
          <w:lang w:val="en-US" w:eastAsia="en-US"/>
        </w:rPr>
        <w:t xml:space="preserve"> bán nợ.</w:t>
      </w:r>
    </w:p>
    <w:p w14:paraId="72648F31" w14:textId="77777777" w:rsidR="00004BA4" w:rsidRPr="00CC0061" w:rsidRDefault="00004BA4" w:rsidP="00DF2532">
      <w:pPr>
        <w:widowControl/>
        <w:suppressAutoHyphens w:val="0"/>
        <w:spacing w:before="60" w:after="60" w:line="240" w:lineRule="auto"/>
        <w:ind w:leftChars="0" w:left="-2" w:firstLineChars="203" w:firstLine="568"/>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CC0061">
        <w:rPr>
          <w:rFonts w:ascii="Times New Roman" w:eastAsia="Times New Roman" w:hAnsi="Times New Roman" w:cs="Times New Roman"/>
          <w:color w:val="auto"/>
          <w:position w:val="0"/>
          <w:sz w:val="28"/>
          <w:szCs w:val="28"/>
          <w:lang w:val="en-US" w:eastAsia="en-US"/>
        </w:rPr>
        <w:t>4. Hồ sơ xử lý rủi ro gồm:</w:t>
      </w:r>
    </w:p>
    <w:p w14:paraId="16D63F18" w14:textId="77777777" w:rsidR="00004BA4" w:rsidRPr="00CC0061" w:rsidRDefault="00004BA4" w:rsidP="00DF2532">
      <w:pPr>
        <w:widowControl/>
        <w:suppressAutoHyphens w:val="0"/>
        <w:spacing w:before="60" w:after="60" w:line="240" w:lineRule="auto"/>
        <w:ind w:leftChars="0" w:left="-2" w:firstLineChars="203" w:firstLine="568"/>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CC0061">
        <w:rPr>
          <w:rFonts w:ascii="Times New Roman" w:eastAsia="Times New Roman" w:hAnsi="Times New Roman" w:cs="Times New Roman"/>
          <w:color w:val="auto"/>
          <w:position w:val="0"/>
          <w:sz w:val="28"/>
          <w:szCs w:val="28"/>
          <w:lang w:val="en-US" w:eastAsia="en-US"/>
        </w:rPr>
        <w:t xml:space="preserve">a) Hồ sơ cấp tín dụng và hồ sơ thu nợ đối với các khoản nợ được </w:t>
      </w:r>
      <w:r w:rsidR="00D33D08" w:rsidRPr="00CC0061">
        <w:rPr>
          <w:rFonts w:ascii="Times New Roman" w:eastAsia="Times New Roman" w:hAnsi="Times New Roman" w:cs="Times New Roman"/>
          <w:color w:val="auto"/>
          <w:position w:val="0"/>
          <w:sz w:val="28"/>
          <w:szCs w:val="28"/>
          <w:lang w:val="en-US" w:eastAsia="en-US"/>
        </w:rPr>
        <w:t xml:space="preserve">sử dụng dự phòng để </w:t>
      </w:r>
      <w:r w:rsidRPr="00CC0061">
        <w:rPr>
          <w:rFonts w:ascii="Times New Roman" w:eastAsia="Times New Roman" w:hAnsi="Times New Roman" w:cs="Times New Roman"/>
          <w:color w:val="auto"/>
          <w:position w:val="0"/>
          <w:sz w:val="28"/>
          <w:szCs w:val="28"/>
          <w:lang w:val="en-US" w:eastAsia="en-US"/>
        </w:rPr>
        <w:t>xử lý rủi ro;</w:t>
      </w:r>
    </w:p>
    <w:p w14:paraId="343F2B99" w14:textId="77777777" w:rsidR="00004BA4" w:rsidRPr="00CC0061" w:rsidRDefault="00004BA4" w:rsidP="00DF2532">
      <w:pPr>
        <w:widowControl/>
        <w:suppressAutoHyphens w:val="0"/>
        <w:spacing w:before="60" w:after="60" w:line="240" w:lineRule="auto"/>
        <w:ind w:leftChars="0" w:left="-2" w:firstLineChars="203" w:firstLine="568"/>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CC0061">
        <w:rPr>
          <w:rFonts w:ascii="Times New Roman" w:eastAsia="Times New Roman" w:hAnsi="Times New Roman" w:cs="Times New Roman"/>
          <w:color w:val="auto"/>
          <w:position w:val="0"/>
          <w:sz w:val="28"/>
          <w:szCs w:val="28"/>
          <w:lang w:val="en-US" w:eastAsia="en-US"/>
        </w:rPr>
        <w:t>b) Hồ sơ tài sản bảo đảm và các giấy tờ khác có liên quan</w:t>
      </w:r>
      <w:r w:rsidR="00D33D08" w:rsidRPr="00CC0061">
        <w:rPr>
          <w:rFonts w:ascii="Times New Roman" w:eastAsia="Times New Roman" w:hAnsi="Times New Roman" w:cs="Times New Roman"/>
          <w:color w:val="auto"/>
          <w:position w:val="0"/>
          <w:sz w:val="28"/>
          <w:szCs w:val="28"/>
          <w:lang w:val="en-US" w:eastAsia="en-US"/>
        </w:rPr>
        <w:t xml:space="preserve"> (nếu có)</w:t>
      </w:r>
      <w:r w:rsidRPr="00CC0061">
        <w:rPr>
          <w:rFonts w:ascii="Times New Roman" w:eastAsia="Times New Roman" w:hAnsi="Times New Roman" w:cs="Times New Roman"/>
          <w:color w:val="auto"/>
          <w:position w:val="0"/>
          <w:sz w:val="28"/>
          <w:szCs w:val="28"/>
          <w:lang w:val="en-US" w:eastAsia="en-US"/>
        </w:rPr>
        <w:t>;</w:t>
      </w:r>
    </w:p>
    <w:p w14:paraId="7678690A" w14:textId="77777777" w:rsidR="00004BA4" w:rsidRPr="00CC0061" w:rsidRDefault="00004BA4" w:rsidP="00DF2532">
      <w:pPr>
        <w:widowControl/>
        <w:suppressAutoHyphens w:val="0"/>
        <w:spacing w:before="60" w:after="60" w:line="240" w:lineRule="auto"/>
        <w:ind w:leftChars="0" w:left="-2" w:firstLineChars="203" w:firstLine="568"/>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CC0061">
        <w:rPr>
          <w:rFonts w:ascii="Times New Roman" w:eastAsia="Times New Roman" w:hAnsi="Times New Roman" w:cs="Times New Roman"/>
          <w:color w:val="auto"/>
          <w:position w:val="0"/>
          <w:sz w:val="28"/>
          <w:szCs w:val="28"/>
          <w:lang w:val="en-US" w:eastAsia="en-US"/>
        </w:rPr>
        <w:t>c) Quyết định hoặc phê duyệt của Hội đồng xử lý rủi ro về kết quả phân loại nợ, trích lập dự phòng rủi ro;</w:t>
      </w:r>
    </w:p>
    <w:p w14:paraId="0462AA62" w14:textId="77777777" w:rsidR="00004BA4" w:rsidRPr="00CC0061" w:rsidRDefault="00004BA4" w:rsidP="00DF2532">
      <w:pPr>
        <w:widowControl/>
        <w:suppressAutoHyphens w:val="0"/>
        <w:spacing w:before="60" w:after="60" w:line="240" w:lineRule="auto"/>
        <w:ind w:leftChars="0" w:left="-2" w:firstLineChars="203" w:firstLine="568"/>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CC0061">
        <w:rPr>
          <w:rFonts w:ascii="Times New Roman" w:eastAsia="Times New Roman" w:hAnsi="Times New Roman" w:cs="Times New Roman"/>
          <w:color w:val="auto"/>
          <w:position w:val="0"/>
          <w:sz w:val="28"/>
          <w:szCs w:val="28"/>
          <w:lang w:val="en-US" w:eastAsia="en-US"/>
        </w:rPr>
        <w:t xml:space="preserve">d) Quyết định hoặc phê duyệt của Hội đồng xử lý rủi ro về việc </w:t>
      </w:r>
      <w:r w:rsidR="00D33D08" w:rsidRPr="00CC0061">
        <w:rPr>
          <w:rFonts w:ascii="Times New Roman" w:eastAsia="Times New Roman" w:hAnsi="Times New Roman" w:cs="Times New Roman"/>
          <w:color w:val="auto"/>
          <w:position w:val="0"/>
          <w:sz w:val="28"/>
          <w:szCs w:val="28"/>
          <w:lang w:val="en-US" w:eastAsia="en-US"/>
        </w:rPr>
        <w:t xml:space="preserve">sử dụng dự phòng để </w:t>
      </w:r>
      <w:r w:rsidRPr="00CC0061">
        <w:rPr>
          <w:rFonts w:ascii="Times New Roman" w:eastAsia="Times New Roman" w:hAnsi="Times New Roman" w:cs="Times New Roman"/>
          <w:color w:val="auto"/>
          <w:position w:val="0"/>
          <w:sz w:val="28"/>
          <w:szCs w:val="28"/>
          <w:lang w:val="en-US" w:eastAsia="en-US"/>
        </w:rPr>
        <w:t>xử lý rủi ro;</w:t>
      </w:r>
    </w:p>
    <w:p w14:paraId="582F2DEB" w14:textId="77777777" w:rsidR="00004BA4" w:rsidRPr="00CC0061" w:rsidRDefault="00004BA4" w:rsidP="00DF2532">
      <w:pPr>
        <w:widowControl/>
        <w:suppressAutoHyphens w:val="0"/>
        <w:spacing w:before="60" w:after="60" w:line="240" w:lineRule="auto"/>
        <w:ind w:leftChars="0" w:left="-2" w:firstLineChars="203" w:firstLine="568"/>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CC0061">
        <w:rPr>
          <w:rFonts w:ascii="Times New Roman" w:eastAsia="Times New Roman" w:hAnsi="Times New Roman" w:cs="Times New Roman"/>
          <w:color w:val="auto"/>
          <w:position w:val="0"/>
          <w:sz w:val="28"/>
          <w:szCs w:val="28"/>
          <w:lang w:val="en-US" w:eastAsia="en-US"/>
        </w:rPr>
        <w:t xml:space="preserve">đ) Đối với trường hợp khách hàng là tổ chức, doanh nghiệp bị phá sản, giải thể, ngoài hồ sơ nêu tại các điểm a, b, c, d </w:t>
      </w:r>
      <w:r w:rsidR="002D1AED">
        <w:rPr>
          <w:rFonts w:ascii="Times New Roman" w:eastAsia="Times New Roman" w:hAnsi="Times New Roman" w:cs="Times New Roman"/>
          <w:color w:val="auto"/>
          <w:position w:val="0"/>
          <w:sz w:val="28"/>
          <w:szCs w:val="28"/>
          <w:lang w:val="en-US" w:eastAsia="en-US"/>
        </w:rPr>
        <w:t>K</w:t>
      </w:r>
      <w:r w:rsidRPr="00CC0061">
        <w:rPr>
          <w:rFonts w:ascii="Times New Roman" w:eastAsia="Times New Roman" w:hAnsi="Times New Roman" w:cs="Times New Roman"/>
          <w:color w:val="auto"/>
          <w:position w:val="0"/>
          <w:sz w:val="28"/>
          <w:szCs w:val="28"/>
          <w:lang w:val="en-US" w:eastAsia="en-US"/>
        </w:rPr>
        <w:t xml:space="preserve">hoản này phải có </w:t>
      </w:r>
      <w:r w:rsidR="00D33D08" w:rsidRPr="00CC0061">
        <w:rPr>
          <w:rFonts w:ascii="Times New Roman" w:eastAsia="Times New Roman" w:hAnsi="Times New Roman" w:cs="Times New Roman"/>
          <w:color w:val="auto"/>
          <w:position w:val="0"/>
          <w:sz w:val="28"/>
          <w:szCs w:val="28"/>
          <w:lang w:val="en-US" w:eastAsia="en-US"/>
        </w:rPr>
        <w:t>bản gốc hoặc b</w:t>
      </w:r>
      <w:r w:rsidRPr="00CC0061">
        <w:rPr>
          <w:rFonts w:ascii="Times New Roman" w:eastAsia="Times New Roman" w:hAnsi="Times New Roman" w:cs="Times New Roman"/>
          <w:color w:val="auto"/>
          <w:position w:val="0"/>
          <w:sz w:val="28"/>
          <w:szCs w:val="28"/>
          <w:lang w:val="en-US" w:eastAsia="en-US"/>
        </w:rPr>
        <w:t xml:space="preserve">ản sao được chứng thực </w:t>
      </w:r>
      <w:r w:rsidRPr="00CC0061">
        <w:rPr>
          <w:rFonts w:ascii="Times New Roman" w:eastAsia="Times New Roman" w:hAnsi="Times New Roman" w:cs="Times New Roman"/>
          <w:iCs/>
          <w:color w:val="auto"/>
          <w:position w:val="0"/>
          <w:sz w:val="28"/>
          <w:szCs w:val="28"/>
          <w:lang w:val="en-US" w:eastAsia="en-US"/>
        </w:rPr>
        <w:t>hoặc bản sao từ sổ gốc Quyết định tuyên bố phá sản</w:t>
      </w:r>
      <w:r w:rsidRPr="00CC0061">
        <w:rPr>
          <w:rFonts w:ascii="Times New Roman" w:eastAsia="Times New Roman" w:hAnsi="Times New Roman" w:cs="Times New Roman"/>
          <w:color w:val="auto"/>
          <w:position w:val="0"/>
          <w:sz w:val="28"/>
          <w:szCs w:val="28"/>
          <w:lang w:val="en-US" w:eastAsia="en-US"/>
        </w:rPr>
        <w:t xml:space="preserve"> của Tòa án hoặc quyết định giải thể doanh nghiệp theo quy định của pháp luật;</w:t>
      </w:r>
    </w:p>
    <w:p w14:paraId="250172AE" w14:textId="77777777" w:rsidR="00004BA4" w:rsidRPr="00CC0061" w:rsidRDefault="00004BA4" w:rsidP="00DF2532">
      <w:pPr>
        <w:widowControl/>
        <w:suppressAutoHyphens w:val="0"/>
        <w:spacing w:before="60" w:after="60" w:line="240" w:lineRule="auto"/>
        <w:ind w:leftChars="0" w:left="-2" w:firstLineChars="203" w:firstLine="568"/>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CC0061">
        <w:rPr>
          <w:rFonts w:ascii="Times New Roman" w:eastAsia="Times New Roman" w:hAnsi="Times New Roman" w:cs="Times New Roman"/>
          <w:color w:val="auto"/>
          <w:position w:val="0"/>
          <w:sz w:val="28"/>
          <w:szCs w:val="28"/>
          <w:lang w:val="en-US" w:eastAsia="en-US"/>
        </w:rPr>
        <w:t>e) Đối với trường hợp khách hàng là cá nhân bị chết, mất tích, ngoài hồ sơ qu</w:t>
      </w:r>
      <w:r w:rsidR="002D1AED">
        <w:rPr>
          <w:rFonts w:ascii="Times New Roman" w:eastAsia="Times New Roman" w:hAnsi="Times New Roman" w:cs="Times New Roman"/>
          <w:color w:val="auto"/>
          <w:position w:val="0"/>
          <w:sz w:val="28"/>
          <w:szCs w:val="28"/>
          <w:lang w:val="en-US" w:eastAsia="en-US"/>
        </w:rPr>
        <w:t>y định tại các điểm a, b, c, d K</w:t>
      </w:r>
      <w:r w:rsidRPr="00CC0061">
        <w:rPr>
          <w:rFonts w:ascii="Times New Roman" w:eastAsia="Times New Roman" w:hAnsi="Times New Roman" w:cs="Times New Roman"/>
          <w:color w:val="auto"/>
          <w:position w:val="0"/>
          <w:sz w:val="28"/>
          <w:szCs w:val="28"/>
          <w:lang w:val="en-US" w:eastAsia="en-US"/>
        </w:rPr>
        <w:t>hoản này phải có</w:t>
      </w:r>
      <w:r w:rsidR="00D33D08" w:rsidRPr="00CC0061">
        <w:rPr>
          <w:rFonts w:ascii="Times New Roman" w:eastAsia="Times New Roman" w:hAnsi="Times New Roman" w:cs="Times New Roman"/>
          <w:color w:val="auto"/>
          <w:position w:val="0"/>
          <w:sz w:val="28"/>
          <w:szCs w:val="28"/>
          <w:lang w:val="en-US" w:eastAsia="en-US"/>
        </w:rPr>
        <w:t xml:space="preserve"> bản gốc hoặc b</w:t>
      </w:r>
      <w:r w:rsidRPr="00CC0061">
        <w:rPr>
          <w:rFonts w:ascii="Times New Roman" w:eastAsia="Times New Roman" w:hAnsi="Times New Roman" w:cs="Times New Roman"/>
          <w:color w:val="auto"/>
          <w:position w:val="0"/>
          <w:sz w:val="28"/>
          <w:szCs w:val="28"/>
          <w:lang w:val="en-US" w:eastAsia="en-US"/>
        </w:rPr>
        <w:t>ản sao được ch</w:t>
      </w:r>
      <w:r w:rsidR="007E5F49">
        <w:rPr>
          <w:rFonts w:ascii="Times New Roman" w:eastAsia="Times New Roman" w:hAnsi="Times New Roman" w:cs="Times New Roman"/>
          <w:color w:val="auto"/>
          <w:position w:val="0"/>
          <w:sz w:val="28"/>
          <w:szCs w:val="28"/>
          <w:lang w:val="en-US" w:eastAsia="en-US"/>
        </w:rPr>
        <w:t xml:space="preserve">ứng thực hoặc bản sao từ sổ gốc </w:t>
      </w:r>
      <w:r w:rsidRPr="00CC0061">
        <w:rPr>
          <w:rFonts w:ascii="Times New Roman" w:eastAsia="Times New Roman" w:hAnsi="Times New Roman" w:cs="Times New Roman"/>
          <w:color w:val="auto"/>
          <w:position w:val="0"/>
          <w:sz w:val="28"/>
          <w:szCs w:val="28"/>
          <w:lang w:val="en-US" w:eastAsia="en-US"/>
        </w:rPr>
        <w:t>Giấy chứng tử hoặc xác nhận</w:t>
      </w:r>
      <w:r w:rsidR="00C218A5" w:rsidRPr="00CC0061">
        <w:rPr>
          <w:rFonts w:ascii="Times New Roman" w:eastAsia="Times New Roman" w:hAnsi="Times New Roman" w:cs="Times New Roman"/>
          <w:color w:val="auto"/>
          <w:position w:val="0"/>
          <w:sz w:val="28"/>
          <w:szCs w:val="28"/>
          <w:lang w:val="en-US" w:eastAsia="en-US"/>
        </w:rPr>
        <w:t xml:space="preserve"> bằng văn bản</w:t>
      </w:r>
      <w:r w:rsidRPr="00CC0061">
        <w:rPr>
          <w:rFonts w:ascii="Times New Roman" w:eastAsia="Times New Roman" w:hAnsi="Times New Roman" w:cs="Times New Roman"/>
          <w:color w:val="auto"/>
          <w:position w:val="0"/>
          <w:sz w:val="28"/>
          <w:szCs w:val="28"/>
          <w:lang w:val="en-US" w:eastAsia="en-US"/>
        </w:rPr>
        <w:t xml:space="preserve"> của chính quyền địa phương cấp x</w:t>
      </w:r>
      <w:r w:rsidR="00C218A5" w:rsidRPr="00CC0061">
        <w:rPr>
          <w:rFonts w:ascii="Times New Roman" w:eastAsia="Times New Roman" w:hAnsi="Times New Roman" w:cs="Times New Roman"/>
          <w:color w:val="auto"/>
          <w:position w:val="0"/>
          <w:sz w:val="28"/>
          <w:szCs w:val="28"/>
          <w:lang w:val="en-US" w:eastAsia="en-US"/>
        </w:rPr>
        <w:t>ã về việc khách hàng đã chết trong trường hợp không có Giấy chứng tử</w:t>
      </w:r>
      <w:r w:rsidR="007E5F49">
        <w:rPr>
          <w:rFonts w:ascii="Times New Roman" w:eastAsia="Times New Roman" w:hAnsi="Times New Roman" w:cs="Times New Roman"/>
          <w:color w:val="auto"/>
          <w:position w:val="0"/>
          <w:sz w:val="28"/>
          <w:szCs w:val="28"/>
          <w:lang w:val="en-US" w:eastAsia="en-US"/>
        </w:rPr>
        <w:t>,</w:t>
      </w:r>
      <w:r w:rsidR="00773617" w:rsidRPr="00CC0061">
        <w:rPr>
          <w:rFonts w:ascii="Times New Roman" w:eastAsia="Times New Roman" w:hAnsi="Times New Roman" w:cs="Times New Roman"/>
          <w:color w:val="auto"/>
          <w:position w:val="0"/>
          <w:sz w:val="28"/>
          <w:szCs w:val="28"/>
          <w:lang w:val="en-US" w:eastAsia="en-US"/>
        </w:rPr>
        <w:t xml:space="preserve"> hoặc q</w:t>
      </w:r>
      <w:r w:rsidRPr="00CC0061">
        <w:rPr>
          <w:rFonts w:ascii="Times New Roman" w:eastAsia="Times New Roman" w:hAnsi="Times New Roman" w:cs="Times New Roman"/>
          <w:color w:val="auto"/>
          <w:position w:val="0"/>
          <w:sz w:val="28"/>
          <w:szCs w:val="28"/>
          <w:lang w:val="en-US" w:eastAsia="en-US"/>
        </w:rPr>
        <w:t>uyết định tuyên bố mất tích theo quy định</w:t>
      </w:r>
      <w:r w:rsidR="00D33D08" w:rsidRPr="00CC0061">
        <w:rPr>
          <w:rFonts w:ascii="Times New Roman" w:eastAsia="Times New Roman" w:hAnsi="Times New Roman" w:cs="Times New Roman"/>
          <w:color w:val="auto"/>
          <w:position w:val="0"/>
          <w:sz w:val="28"/>
          <w:szCs w:val="28"/>
          <w:lang w:val="en-US" w:eastAsia="en-US"/>
        </w:rPr>
        <w:t xml:space="preserve"> của</w:t>
      </w:r>
      <w:r w:rsidRPr="00CC0061">
        <w:rPr>
          <w:rFonts w:ascii="Times New Roman" w:eastAsia="Times New Roman" w:hAnsi="Times New Roman" w:cs="Times New Roman"/>
          <w:color w:val="auto"/>
          <w:position w:val="0"/>
          <w:sz w:val="28"/>
          <w:szCs w:val="28"/>
          <w:lang w:val="en-US" w:eastAsia="en-US"/>
        </w:rPr>
        <w:t xml:space="preserve"> pháp luật.</w:t>
      </w:r>
    </w:p>
    <w:p w14:paraId="43993CAD" w14:textId="77777777" w:rsidR="00004BA4" w:rsidRPr="00CC0061" w:rsidRDefault="00004BA4" w:rsidP="00DF2532">
      <w:pPr>
        <w:widowControl/>
        <w:suppressAutoHyphens w:val="0"/>
        <w:spacing w:before="60" w:after="60" w:line="240" w:lineRule="auto"/>
        <w:ind w:leftChars="0" w:left="-2" w:firstLineChars="203" w:firstLine="571"/>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CC0061">
        <w:rPr>
          <w:rFonts w:ascii="Times New Roman" w:eastAsia="Times New Roman" w:hAnsi="Times New Roman" w:cs="Times New Roman"/>
          <w:b/>
          <w:color w:val="auto"/>
          <w:position w:val="0"/>
          <w:sz w:val="28"/>
          <w:szCs w:val="28"/>
          <w:lang w:val="en-US" w:eastAsia="en-US"/>
        </w:rPr>
        <w:t>Điều 17. Theo dõi nợ đã sử dụng dự phòng để xử lý rủi ro và xuất toán khỏi ngoại bảng</w:t>
      </w:r>
    </w:p>
    <w:p w14:paraId="68B98CEA" w14:textId="77777777" w:rsidR="00004BA4" w:rsidRPr="00CC0061" w:rsidRDefault="00004BA4" w:rsidP="00DF2532">
      <w:pPr>
        <w:widowControl/>
        <w:suppressAutoHyphens w:val="0"/>
        <w:spacing w:before="60" w:after="60" w:line="240" w:lineRule="auto"/>
        <w:ind w:leftChars="0" w:left="-2" w:firstLineChars="203" w:firstLine="568"/>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CC0061">
        <w:rPr>
          <w:rFonts w:ascii="Times New Roman" w:eastAsia="Times New Roman" w:hAnsi="Times New Roman" w:cs="Times New Roman"/>
          <w:color w:val="auto"/>
          <w:position w:val="0"/>
          <w:sz w:val="28"/>
          <w:szCs w:val="28"/>
          <w:lang w:val="en-US" w:eastAsia="en-US"/>
        </w:rPr>
        <w:t>1. Sau thời gian tối thiểu 05 (năm) năm, kể từ ngày sử dụng dự phòng để xử lý rủi ro và sau khi đã thực hiện tất cả các biện pháp để thu hồi nợ nhưng không thu hồi được, tổ chức tín dụng, chi nhánh ngân hàng nước ngoài được quyết định xuất toán nợ đã xử lý rủi ro ra khỏi ngoại bảng.</w:t>
      </w:r>
    </w:p>
    <w:p w14:paraId="315FE592" w14:textId="77777777" w:rsidR="00004BA4" w:rsidRPr="00CC0061" w:rsidRDefault="00004BA4" w:rsidP="00DF2532">
      <w:pPr>
        <w:widowControl/>
        <w:suppressAutoHyphens w:val="0"/>
        <w:spacing w:before="60" w:after="60" w:line="240" w:lineRule="auto"/>
        <w:ind w:leftChars="0" w:left="-2" w:firstLineChars="203" w:firstLine="568"/>
        <w:jc w:val="both"/>
        <w:textDirection w:val="lrTb"/>
        <w:textAlignment w:val="auto"/>
        <w:outlineLvl w:val="9"/>
        <w:rPr>
          <w:rFonts w:ascii="Times New Roman" w:eastAsia="Times New Roman" w:hAnsi="Times New Roman" w:cs="Times New Roman"/>
          <w:iCs/>
          <w:color w:val="auto"/>
          <w:position w:val="0"/>
          <w:sz w:val="28"/>
          <w:szCs w:val="28"/>
          <w:lang w:val="en-US" w:eastAsia="en-US"/>
        </w:rPr>
      </w:pPr>
      <w:r w:rsidRPr="00CC0061">
        <w:rPr>
          <w:rFonts w:ascii="Times New Roman" w:eastAsia="Times New Roman" w:hAnsi="Times New Roman" w:cs="Times New Roman"/>
          <w:iCs/>
          <w:color w:val="auto"/>
          <w:position w:val="0"/>
          <w:sz w:val="28"/>
          <w:szCs w:val="28"/>
          <w:lang w:val="en-US" w:eastAsia="en-US"/>
        </w:rPr>
        <w:t xml:space="preserve">Các khoản nợ được xuất toán ra khỏi ngoại bảng phải theo dõi trong hệ thống quản trị của tổ chức tín dụng, chi nhánh ngân hàng nước ngoài </w:t>
      </w:r>
      <w:r w:rsidR="00867B5F" w:rsidRPr="00CC0061">
        <w:rPr>
          <w:rFonts w:ascii="Times New Roman" w:eastAsia="Times New Roman" w:hAnsi="Times New Roman" w:cs="Times New Roman"/>
          <w:iCs/>
          <w:color w:val="auto"/>
          <w:position w:val="0"/>
          <w:sz w:val="28"/>
          <w:szCs w:val="28"/>
          <w:lang w:val="en-US" w:eastAsia="en-US"/>
        </w:rPr>
        <w:t xml:space="preserve">theo quy định về trích lập và xử lý các khoản dự phòng giảm giá hàng tồn kho, tổn thất các khoản đầu tư, nợ phải thu khó đòi và bảo hành sản phẩm hàng hóa dịch vụ công trình xây dựng tại doanh nghiệp </w:t>
      </w:r>
      <w:r w:rsidRPr="00CC0061">
        <w:rPr>
          <w:rFonts w:ascii="Times New Roman" w:eastAsia="Times New Roman" w:hAnsi="Times New Roman" w:cs="Times New Roman"/>
          <w:iCs/>
          <w:color w:val="auto"/>
          <w:position w:val="0"/>
          <w:sz w:val="28"/>
          <w:szCs w:val="28"/>
          <w:lang w:val="en-US" w:eastAsia="en-US"/>
        </w:rPr>
        <w:t>trong thời hạn tối thiểu là 10</w:t>
      </w:r>
      <w:r w:rsidR="00A97C24">
        <w:rPr>
          <w:rFonts w:ascii="Times New Roman" w:eastAsia="Times New Roman" w:hAnsi="Times New Roman" w:cs="Times New Roman"/>
          <w:iCs/>
          <w:color w:val="auto"/>
          <w:position w:val="0"/>
          <w:sz w:val="28"/>
          <w:szCs w:val="28"/>
          <w:lang w:val="en-US" w:eastAsia="en-US"/>
        </w:rPr>
        <w:t xml:space="preserve"> (mười)</w:t>
      </w:r>
      <w:r w:rsidRPr="00CC0061">
        <w:rPr>
          <w:rFonts w:ascii="Times New Roman" w:eastAsia="Times New Roman" w:hAnsi="Times New Roman" w:cs="Times New Roman"/>
          <w:iCs/>
          <w:color w:val="auto"/>
          <w:position w:val="0"/>
          <w:sz w:val="28"/>
          <w:szCs w:val="28"/>
          <w:lang w:val="en-US" w:eastAsia="en-US"/>
        </w:rPr>
        <w:t xml:space="preserve"> năm kể từ ngày quyết định xuất toán nợ đã xử lý rủi ro ra khỏi ngoại bảng, trừ các khoản nợ mà khách hàng là tổ chức đã phá sản, giải thể theo quy định của pháp luật và sau khi thanh lý, xử lý toàn bộ tài sản hoặc khách hàng là cá nhân </w:t>
      </w:r>
      <w:r w:rsidR="00D125C0">
        <w:rPr>
          <w:rFonts w:ascii="Times New Roman" w:eastAsia="Times New Roman" w:hAnsi="Times New Roman" w:cs="Times New Roman"/>
          <w:iCs/>
          <w:color w:val="auto"/>
          <w:position w:val="0"/>
          <w:sz w:val="28"/>
          <w:szCs w:val="28"/>
          <w:lang w:val="en-US" w:eastAsia="en-US"/>
        </w:rPr>
        <w:t xml:space="preserve">đã </w:t>
      </w:r>
      <w:r w:rsidRPr="00CC0061">
        <w:rPr>
          <w:rFonts w:ascii="Times New Roman" w:eastAsia="Times New Roman" w:hAnsi="Times New Roman" w:cs="Times New Roman"/>
          <w:iCs/>
          <w:color w:val="auto"/>
          <w:position w:val="0"/>
          <w:sz w:val="28"/>
          <w:szCs w:val="28"/>
          <w:lang w:val="en-US" w:eastAsia="en-US"/>
        </w:rPr>
        <w:t>chết</w:t>
      </w:r>
      <w:r w:rsidR="00D125C0">
        <w:rPr>
          <w:rFonts w:ascii="Times New Roman" w:eastAsia="Times New Roman" w:hAnsi="Times New Roman" w:cs="Times New Roman"/>
          <w:iCs/>
          <w:color w:val="auto"/>
          <w:position w:val="0"/>
          <w:sz w:val="28"/>
          <w:szCs w:val="28"/>
          <w:lang w:val="en-US" w:eastAsia="en-US"/>
        </w:rPr>
        <w:t>,</w:t>
      </w:r>
      <w:r w:rsidRPr="00CC0061">
        <w:rPr>
          <w:rFonts w:ascii="Times New Roman" w:eastAsia="Times New Roman" w:hAnsi="Times New Roman" w:cs="Times New Roman"/>
          <w:iCs/>
          <w:color w:val="auto"/>
          <w:position w:val="0"/>
          <w:sz w:val="28"/>
          <w:szCs w:val="28"/>
          <w:lang w:val="en-US" w:eastAsia="en-US"/>
        </w:rPr>
        <w:t xml:space="preserve"> </w:t>
      </w:r>
      <w:r w:rsidR="00D125C0" w:rsidRPr="00CC0061">
        <w:rPr>
          <w:rFonts w:ascii="Times New Roman" w:eastAsia="Times New Roman" w:hAnsi="Times New Roman" w:cs="Times New Roman"/>
          <w:iCs/>
          <w:color w:val="auto"/>
          <w:position w:val="0"/>
          <w:sz w:val="28"/>
          <w:szCs w:val="28"/>
          <w:lang w:val="en-US" w:eastAsia="en-US"/>
        </w:rPr>
        <w:t xml:space="preserve">bị tuyên bố mất tích theo quyết định của Tòa án </w:t>
      </w:r>
      <w:r w:rsidRPr="00CC0061">
        <w:rPr>
          <w:rFonts w:ascii="Times New Roman" w:eastAsia="Times New Roman" w:hAnsi="Times New Roman" w:cs="Times New Roman"/>
          <w:iCs/>
          <w:color w:val="auto"/>
          <w:position w:val="0"/>
          <w:sz w:val="28"/>
          <w:szCs w:val="28"/>
          <w:lang w:val="en-US" w:eastAsia="en-US"/>
        </w:rPr>
        <w:t>và đã xử lý xong di sản</w:t>
      </w:r>
      <w:r w:rsidR="00D125C0">
        <w:rPr>
          <w:rFonts w:ascii="Times New Roman" w:eastAsia="Times New Roman" w:hAnsi="Times New Roman" w:cs="Times New Roman"/>
          <w:iCs/>
          <w:color w:val="auto"/>
          <w:position w:val="0"/>
          <w:sz w:val="28"/>
          <w:szCs w:val="28"/>
          <w:lang w:val="en-US" w:eastAsia="en-US"/>
        </w:rPr>
        <w:t>, nghĩa vụ</w:t>
      </w:r>
      <w:r w:rsidRPr="00CC0061">
        <w:rPr>
          <w:rFonts w:ascii="Times New Roman" w:eastAsia="Times New Roman" w:hAnsi="Times New Roman" w:cs="Times New Roman"/>
          <w:iCs/>
          <w:color w:val="auto"/>
          <w:position w:val="0"/>
          <w:sz w:val="28"/>
          <w:szCs w:val="28"/>
          <w:lang w:val="en-US" w:eastAsia="en-US"/>
        </w:rPr>
        <w:t xml:space="preserve"> </w:t>
      </w:r>
      <w:r w:rsidR="00D125C0">
        <w:rPr>
          <w:rFonts w:ascii="Times New Roman" w:eastAsia="Times New Roman" w:hAnsi="Times New Roman" w:cs="Times New Roman"/>
          <w:iCs/>
          <w:color w:val="auto"/>
          <w:position w:val="0"/>
          <w:sz w:val="28"/>
          <w:szCs w:val="28"/>
          <w:lang w:val="en-US" w:eastAsia="en-US"/>
        </w:rPr>
        <w:t>của người này theo quy định của pháp luật</w:t>
      </w:r>
      <w:r w:rsidRPr="00CC0061">
        <w:rPr>
          <w:rFonts w:ascii="Times New Roman" w:eastAsia="Times New Roman" w:hAnsi="Times New Roman" w:cs="Times New Roman"/>
          <w:iCs/>
          <w:color w:val="auto"/>
          <w:position w:val="0"/>
          <w:sz w:val="28"/>
          <w:szCs w:val="28"/>
          <w:lang w:val="en-US" w:eastAsia="en-US"/>
        </w:rPr>
        <w:t>.</w:t>
      </w:r>
    </w:p>
    <w:p w14:paraId="46F6CF7B" w14:textId="77777777" w:rsidR="00C84E3E" w:rsidRPr="00CC0061" w:rsidRDefault="00004BA4" w:rsidP="00DF2532">
      <w:pPr>
        <w:widowControl/>
        <w:suppressAutoHyphens w:val="0"/>
        <w:spacing w:before="60" w:after="60" w:line="240" w:lineRule="auto"/>
        <w:ind w:leftChars="0" w:left="-2" w:firstLineChars="203" w:firstLine="568"/>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CC0061">
        <w:rPr>
          <w:rFonts w:ascii="Times New Roman" w:eastAsia="Times New Roman" w:hAnsi="Times New Roman" w:cs="Times New Roman"/>
          <w:color w:val="auto"/>
          <w:position w:val="0"/>
          <w:sz w:val="28"/>
          <w:szCs w:val="28"/>
          <w:lang w:val="en-US" w:eastAsia="en-US"/>
        </w:rPr>
        <w:t xml:space="preserve">2. Đối với ngân hàng thương mại nhà nước, ngân hàng thương mại cổ phần mà Nhà nước sở hữu trên 50% vốn điều lệ, việc xuất toán nợ ra khỏi ngoại bảng quy định tại khoản 1 Điều </w:t>
      </w:r>
      <w:r w:rsidR="006D3D82" w:rsidRPr="00CC0061">
        <w:rPr>
          <w:rFonts w:ascii="Times New Roman" w:eastAsia="Times New Roman" w:hAnsi="Times New Roman" w:cs="Times New Roman"/>
          <w:color w:val="auto"/>
          <w:position w:val="0"/>
          <w:sz w:val="28"/>
          <w:szCs w:val="28"/>
          <w:lang w:val="en-US" w:eastAsia="en-US"/>
        </w:rPr>
        <w:t xml:space="preserve">này chỉ được thực hiện khi </w:t>
      </w:r>
      <w:r w:rsidR="00C84E3E" w:rsidRPr="00CC0061">
        <w:rPr>
          <w:rFonts w:ascii="Times New Roman" w:eastAsia="Times New Roman" w:hAnsi="Times New Roman" w:cs="Times New Roman"/>
          <w:color w:val="auto"/>
          <w:position w:val="0"/>
          <w:sz w:val="28"/>
          <w:szCs w:val="28"/>
          <w:lang w:val="en-US" w:eastAsia="en-US"/>
        </w:rPr>
        <w:t>đáp ứng các điều kiện sau đây:</w:t>
      </w:r>
    </w:p>
    <w:p w14:paraId="0582796E" w14:textId="77777777" w:rsidR="00C84E3E" w:rsidRPr="00CC0061" w:rsidRDefault="00C84E3E" w:rsidP="00DF2532">
      <w:pPr>
        <w:widowControl/>
        <w:suppressAutoHyphens w:val="0"/>
        <w:spacing w:before="60" w:after="60" w:line="240" w:lineRule="auto"/>
        <w:ind w:leftChars="0" w:left="-2" w:firstLineChars="203" w:firstLine="568"/>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CC0061">
        <w:rPr>
          <w:rFonts w:ascii="Times New Roman" w:eastAsia="Times New Roman" w:hAnsi="Times New Roman" w:cs="Times New Roman"/>
          <w:color w:val="auto"/>
          <w:position w:val="0"/>
          <w:sz w:val="28"/>
          <w:szCs w:val="28"/>
          <w:lang w:val="en-US" w:eastAsia="en-US"/>
        </w:rPr>
        <w:lastRenderedPageBreak/>
        <w:t>a) C</w:t>
      </w:r>
      <w:r w:rsidR="006D3D82" w:rsidRPr="00CC0061">
        <w:rPr>
          <w:rFonts w:ascii="Times New Roman" w:eastAsia="Times New Roman" w:hAnsi="Times New Roman" w:cs="Times New Roman"/>
          <w:color w:val="auto"/>
          <w:position w:val="0"/>
          <w:sz w:val="28"/>
          <w:szCs w:val="28"/>
          <w:lang w:val="en-US" w:eastAsia="en-US"/>
        </w:rPr>
        <w:t>ó</w:t>
      </w:r>
      <w:r w:rsidR="00004BA4" w:rsidRPr="00CC0061">
        <w:rPr>
          <w:rFonts w:ascii="Times New Roman" w:eastAsia="Times New Roman" w:hAnsi="Times New Roman" w:cs="Times New Roman"/>
          <w:color w:val="auto"/>
          <w:position w:val="0"/>
          <w:sz w:val="28"/>
          <w:szCs w:val="28"/>
          <w:lang w:val="en-US" w:eastAsia="en-US"/>
        </w:rPr>
        <w:t xml:space="preserve"> hồ sơ, tài liệu chứng minh đã thực hiện tất cả các biện pháp thu h</w:t>
      </w:r>
      <w:r w:rsidRPr="00CC0061">
        <w:rPr>
          <w:rFonts w:ascii="Times New Roman" w:eastAsia="Times New Roman" w:hAnsi="Times New Roman" w:cs="Times New Roman"/>
          <w:color w:val="auto"/>
          <w:position w:val="0"/>
          <w:sz w:val="28"/>
          <w:szCs w:val="28"/>
          <w:lang w:val="en-US" w:eastAsia="en-US"/>
        </w:rPr>
        <w:t>ồi nợ nhưng không thu được nợ;</w:t>
      </w:r>
    </w:p>
    <w:p w14:paraId="797918F8" w14:textId="77777777" w:rsidR="00004BA4" w:rsidRPr="000455E5" w:rsidRDefault="00C84E3E" w:rsidP="00DF2532">
      <w:pPr>
        <w:widowControl/>
        <w:suppressAutoHyphens w:val="0"/>
        <w:spacing w:before="60" w:after="60" w:line="240" w:lineRule="auto"/>
        <w:ind w:leftChars="0" w:left="-2" w:firstLineChars="203" w:firstLine="568"/>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0455E5">
        <w:rPr>
          <w:rFonts w:ascii="Times New Roman" w:eastAsia="Times New Roman" w:hAnsi="Times New Roman" w:cs="Times New Roman"/>
          <w:color w:val="auto"/>
          <w:position w:val="0"/>
          <w:sz w:val="28"/>
          <w:szCs w:val="28"/>
          <w:lang w:val="en-US" w:eastAsia="en-US"/>
        </w:rPr>
        <w:t>b) P</w:t>
      </w:r>
      <w:r w:rsidR="00004BA4" w:rsidRPr="000455E5">
        <w:rPr>
          <w:rFonts w:ascii="Times New Roman" w:eastAsia="Times New Roman" w:hAnsi="Times New Roman" w:cs="Times New Roman"/>
          <w:color w:val="auto"/>
          <w:position w:val="0"/>
          <w:sz w:val="28"/>
          <w:szCs w:val="28"/>
          <w:lang w:val="en-US" w:eastAsia="en-US"/>
        </w:rPr>
        <w:t xml:space="preserve">hải được </w:t>
      </w:r>
      <w:r w:rsidR="00C043D8" w:rsidRPr="000455E5">
        <w:rPr>
          <w:rFonts w:ascii="Times New Roman" w:eastAsia="Times New Roman" w:hAnsi="Times New Roman" w:cs="Times New Roman"/>
          <w:color w:val="auto"/>
          <w:position w:val="0"/>
          <w:sz w:val="28"/>
          <w:szCs w:val="28"/>
          <w:lang w:val="en-US" w:eastAsia="en-US"/>
        </w:rPr>
        <w:t>Ngân hàng Nhà nước phê duyệt bằng văn bản sau khi có ý kiến của Bộ Tài chính</w:t>
      </w:r>
      <w:r w:rsidR="00004BA4" w:rsidRPr="000455E5">
        <w:rPr>
          <w:rFonts w:ascii="Times New Roman" w:eastAsia="Times New Roman" w:hAnsi="Times New Roman" w:cs="Times New Roman"/>
          <w:color w:val="auto"/>
          <w:position w:val="0"/>
          <w:sz w:val="28"/>
          <w:szCs w:val="28"/>
          <w:lang w:val="en-US" w:eastAsia="en-US"/>
        </w:rPr>
        <w:t>.</w:t>
      </w:r>
    </w:p>
    <w:p w14:paraId="35BFE226" w14:textId="77777777" w:rsidR="00C84E3E" w:rsidRPr="00CC0061" w:rsidRDefault="00004BA4" w:rsidP="00DF2532">
      <w:pPr>
        <w:widowControl/>
        <w:suppressAutoHyphens w:val="0"/>
        <w:spacing w:before="60" w:after="60" w:line="240" w:lineRule="auto"/>
        <w:ind w:leftChars="0" w:left="-2" w:firstLineChars="203" w:firstLine="568"/>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CC0061">
        <w:rPr>
          <w:rFonts w:ascii="Times New Roman" w:eastAsia="Times New Roman" w:hAnsi="Times New Roman" w:cs="Times New Roman"/>
          <w:color w:val="auto"/>
          <w:position w:val="0"/>
          <w:sz w:val="28"/>
          <w:szCs w:val="28"/>
          <w:lang w:val="en-US" w:eastAsia="en-US"/>
        </w:rPr>
        <w:t xml:space="preserve">3. Đối với tổ chức tín dụng </w:t>
      </w:r>
      <w:r w:rsidR="00B7702B">
        <w:rPr>
          <w:rFonts w:ascii="Times New Roman" w:eastAsia="Times New Roman" w:hAnsi="Times New Roman" w:cs="Times New Roman"/>
          <w:color w:val="auto"/>
          <w:position w:val="0"/>
          <w:sz w:val="28"/>
          <w:szCs w:val="28"/>
          <w:lang w:val="en-US" w:eastAsia="en-US"/>
        </w:rPr>
        <w:t xml:space="preserve">là công ty </w:t>
      </w:r>
      <w:r w:rsidRPr="00CC0061">
        <w:rPr>
          <w:rFonts w:ascii="Times New Roman" w:eastAsia="Times New Roman" w:hAnsi="Times New Roman" w:cs="Times New Roman"/>
          <w:color w:val="auto"/>
          <w:position w:val="0"/>
          <w:sz w:val="28"/>
          <w:szCs w:val="28"/>
          <w:lang w:val="en-US" w:eastAsia="en-US"/>
        </w:rPr>
        <w:t xml:space="preserve">cổ phần, việc xuất toán nợ ra khỏi ngoại bảng quy định tại khoản 1 Điều </w:t>
      </w:r>
      <w:r w:rsidR="006D3D82" w:rsidRPr="00CC0061">
        <w:rPr>
          <w:rFonts w:ascii="Times New Roman" w:eastAsia="Times New Roman" w:hAnsi="Times New Roman" w:cs="Times New Roman"/>
          <w:color w:val="auto"/>
          <w:position w:val="0"/>
          <w:sz w:val="28"/>
          <w:szCs w:val="28"/>
          <w:lang w:val="en-US" w:eastAsia="en-US"/>
        </w:rPr>
        <w:t xml:space="preserve">này chỉ được thực hiện </w:t>
      </w:r>
      <w:r w:rsidR="00C84E3E" w:rsidRPr="00CC0061">
        <w:rPr>
          <w:rFonts w:ascii="Times New Roman" w:eastAsia="Times New Roman" w:hAnsi="Times New Roman" w:cs="Times New Roman"/>
          <w:color w:val="auto"/>
          <w:position w:val="0"/>
          <w:sz w:val="28"/>
          <w:szCs w:val="28"/>
          <w:lang w:val="en-US" w:eastAsia="en-US"/>
        </w:rPr>
        <w:t>khi đáp ứng các điều kiện sau đây:</w:t>
      </w:r>
    </w:p>
    <w:p w14:paraId="1D538F9E" w14:textId="77777777" w:rsidR="00C84E3E" w:rsidRPr="00CC0061" w:rsidRDefault="00C84E3E" w:rsidP="00DF2532">
      <w:pPr>
        <w:widowControl/>
        <w:suppressAutoHyphens w:val="0"/>
        <w:spacing w:before="60" w:after="60" w:line="240" w:lineRule="auto"/>
        <w:ind w:leftChars="0" w:left="-2" w:firstLineChars="203" w:firstLine="568"/>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CC0061">
        <w:rPr>
          <w:rFonts w:ascii="Times New Roman" w:eastAsia="Times New Roman" w:hAnsi="Times New Roman" w:cs="Times New Roman"/>
          <w:color w:val="auto"/>
          <w:position w:val="0"/>
          <w:sz w:val="28"/>
          <w:szCs w:val="28"/>
          <w:lang w:val="en-US" w:eastAsia="en-US"/>
        </w:rPr>
        <w:t>a)</w:t>
      </w:r>
      <w:r w:rsidR="006D3D82" w:rsidRPr="00CC0061">
        <w:rPr>
          <w:rFonts w:ascii="Times New Roman" w:eastAsia="Times New Roman" w:hAnsi="Times New Roman" w:cs="Times New Roman"/>
          <w:color w:val="auto"/>
          <w:position w:val="0"/>
          <w:sz w:val="28"/>
          <w:szCs w:val="28"/>
          <w:lang w:val="en-US" w:eastAsia="en-US"/>
        </w:rPr>
        <w:t xml:space="preserve"> </w:t>
      </w:r>
      <w:r w:rsidRPr="00CC0061">
        <w:rPr>
          <w:rFonts w:ascii="Times New Roman" w:eastAsia="Times New Roman" w:hAnsi="Times New Roman" w:cs="Times New Roman"/>
          <w:color w:val="auto"/>
          <w:position w:val="0"/>
          <w:sz w:val="28"/>
          <w:szCs w:val="28"/>
          <w:lang w:val="en-US" w:eastAsia="en-US"/>
        </w:rPr>
        <w:t>C</w:t>
      </w:r>
      <w:r w:rsidR="006D3D82" w:rsidRPr="00CC0061">
        <w:rPr>
          <w:rFonts w:ascii="Times New Roman" w:eastAsia="Times New Roman" w:hAnsi="Times New Roman" w:cs="Times New Roman"/>
          <w:color w:val="auto"/>
          <w:position w:val="0"/>
          <w:sz w:val="28"/>
          <w:szCs w:val="28"/>
          <w:lang w:val="en-US" w:eastAsia="en-US"/>
        </w:rPr>
        <w:t>ó</w:t>
      </w:r>
      <w:r w:rsidR="00004BA4" w:rsidRPr="00CC0061">
        <w:rPr>
          <w:rFonts w:ascii="Times New Roman" w:eastAsia="Times New Roman" w:hAnsi="Times New Roman" w:cs="Times New Roman"/>
          <w:color w:val="auto"/>
          <w:position w:val="0"/>
          <w:sz w:val="28"/>
          <w:szCs w:val="28"/>
          <w:lang w:val="en-US" w:eastAsia="en-US"/>
        </w:rPr>
        <w:t xml:space="preserve"> hồ sơ, tài liệu chứng minh đã thực hiện tất cả các biện pháp thu h</w:t>
      </w:r>
      <w:r w:rsidRPr="00CC0061">
        <w:rPr>
          <w:rFonts w:ascii="Times New Roman" w:eastAsia="Times New Roman" w:hAnsi="Times New Roman" w:cs="Times New Roman"/>
          <w:color w:val="auto"/>
          <w:position w:val="0"/>
          <w:sz w:val="28"/>
          <w:szCs w:val="28"/>
          <w:lang w:val="en-US" w:eastAsia="en-US"/>
        </w:rPr>
        <w:t>ồi nợ nhưng không thu được nợ;</w:t>
      </w:r>
    </w:p>
    <w:p w14:paraId="29B962A3" w14:textId="77777777" w:rsidR="00004BA4" w:rsidRPr="00CC0061" w:rsidRDefault="00C84E3E" w:rsidP="00DF2532">
      <w:pPr>
        <w:widowControl/>
        <w:suppressAutoHyphens w:val="0"/>
        <w:spacing w:before="60" w:after="60" w:line="240" w:lineRule="auto"/>
        <w:ind w:leftChars="0" w:left="-2" w:firstLineChars="203" w:firstLine="568"/>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CC0061">
        <w:rPr>
          <w:rFonts w:ascii="Times New Roman" w:eastAsia="Times New Roman" w:hAnsi="Times New Roman" w:cs="Times New Roman"/>
          <w:color w:val="auto"/>
          <w:position w:val="0"/>
          <w:sz w:val="28"/>
          <w:szCs w:val="28"/>
          <w:lang w:val="en-US" w:eastAsia="en-US"/>
        </w:rPr>
        <w:t>b) P</w:t>
      </w:r>
      <w:r w:rsidR="00004BA4" w:rsidRPr="00CC0061">
        <w:rPr>
          <w:rFonts w:ascii="Times New Roman" w:eastAsia="Times New Roman" w:hAnsi="Times New Roman" w:cs="Times New Roman"/>
          <w:color w:val="auto"/>
          <w:position w:val="0"/>
          <w:sz w:val="28"/>
          <w:szCs w:val="28"/>
          <w:lang w:val="en-US" w:eastAsia="en-US"/>
        </w:rPr>
        <w:t xml:space="preserve">hải được </w:t>
      </w:r>
      <w:r w:rsidRPr="00CC0061">
        <w:rPr>
          <w:rFonts w:ascii="Times New Roman" w:eastAsia="Times New Roman" w:hAnsi="Times New Roman" w:cs="Times New Roman"/>
          <w:color w:val="auto"/>
          <w:position w:val="0"/>
          <w:sz w:val="28"/>
          <w:szCs w:val="28"/>
          <w:lang w:val="en-US" w:eastAsia="en-US"/>
        </w:rPr>
        <w:t>Đ</w:t>
      </w:r>
      <w:r w:rsidR="00004BA4" w:rsidRPr="00CC0061">
        <w:rPr>
          <w:rFonts w:ascii="Times New Roman" w:eastAsia="Times New Roman" w:hAnsi="Times New Roman" w:cs="Times New Roman"/>
          <w:color w:val="auto"/>
          <w:position w:val="0"/>
          <w:sz w:val="28"/>
          <w:szCs w:val="28"/>
          <w:lang w:val="en-US" w:eastAsia="en-US"/>
        </w:rPr>
        <w:t>ại hội đồng cổ đông thông qua.</w:t>
      </w:r>
    </w:p>
    <w:p w14:paraId="4809D092" w14:textId="77777777" w:rsidR="00C84E3E" w:rsidRPr="00CC0061" w:rsidRDefault="00004BA4" w:rsidP="00DF2532">
      <w:pPr>
        <w:widowControl/>
        <w:suppressAutoHyphens w:val="0"/>
        <w:spacing w:before="60" w:after="60" w:line="240" w:lineRule="auto"/>
        <w:ind w:leftChars="0" w:left="-2" w:firstLineChars="203" w:firstLine="568"/>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CC0061">
        <w:rPr>
          <w:rFonts w:ascii="Times New Roman" w:eastAsia="Times New Roman" w:hAnsi="Times New Roman" w:cs="Times New Roman"/>
          <w:color w:val="auto"/>
          <w:position w:val="0"/>
          <w:sz w:val="28"/>
          <w:szCs w:val="28"/>
          <w:lang w:val="en-US" w:eastAsia="en-US"/>
        </w:rPr>
        <w:t>4. Đối với tổ ch</w:t>
      </w:r>
      <w:r w:rsidR="002435F6" w:rsidRPr="00CC0061">
        <w:rPr>
          <w:rFonts w:ascii="Times New Roman" w:eastAsia="Times New Roman" w:hAnsi="Times New Roman" w:cs="Times New Roman"/>
          <w:color w:val="auto"/>
          <w:position w:val="0"/>
          <w:sz w:val="28"/>
          <w:szCs w:val="28"/>
          <w:lang w:val="en-US" w:eastAsia="en-US"/>
        </w:rPr>
        <w:t>ức tín dụng</w:t>
      </w:r>
      <w:r w:rsidR="00B7702B">
        <w:rPr>
          <w:rFonts w:ascii="Times New Roman" w:eastAsia="Times New Roman" w:hAnsi="Times New Roman" w:cs="Times New Roman"/>
          <w:color w:val="auto"/>
          <w:position w:val="0"/>
          <w:sz w:val="28"/>
          <w:szCs w:val="28"/>
          <w:lang w:val="en-US" w:eastAsia="en-US"/>
        </w:rPr>
        <w:t xml:space="preserve"> là công ty</w:t>
      </w:r>
      <w:r w:rsidR="002435F6" w:rsidRPr="00CC0061">
        <w:rPr>
          <w:rFonts w:ascii="Times New Roman" w:eastAsia="Times New Roman" w:hAnsi="Times New Roman" w:cs="Times New Roman"/>
          <w:color w:val="auto"/>
          <w:position w:val="0"/>
          <w:sz w:val="28"/>
          <w:szCs w:val="28"/>
          <w:lang w:val="en-US" w:eastAsia="en-US"/>
        </w:rPr>
        <w:t xml:space="preserve"> trách nhiệm hữu hạn,</w:t>
      </w:r>
      <w:r w:rsidRPr="00CC0061">
        <w:rPr>
          <w:rFonts w:ascii="Times New Roman" w:eastAsia="Times New Roman" w:hAnsi="Times New Roman" w:cs="Times New Roman"/>
          <w:color w:val="auto"/>
          <w:position w:val="0"/>
          <w:sz w:val="28"/>
          <w:szCs w:val="28"/>
          <w:lang w:val="en-US" w:eastAsia="en-US"/>
        </w:rPr>
        <w:t xml:space="preserve"> việc xuất toán nợ ra khỏi ngoại bảng quy định tại khoản 1 Điều </w:t>
      </w:r>
      <w:r w:rsidR="006D3D82" w:rsidRPr="00CC0061">
        <w:rPr>
          <w:rFonts w:ascii="Times New Roman" w:eastAsia="Times New Roman" w:hAnsi="Times New Roman" w:cs="Times New Roman"/>
          <w:color w:val="auto"/>
          <w:position w:val="0"/>
          <w:sz w:val="28"/>
          <w:szCs w:val="28"/>
          <w:lang w:val="en-US" w:eastAsia="en-US"/>
        </w:rPr>
        <w:t xml:space="preserve">này chỉ được thực hiện </w:t>
      </w:r>
      <w:r w:rsidR="00C84E3E" w:rsidRPr="00CC0061">
        <w:rPr>
          <w:rFonts w:ascii="Times New Roman" w:eastAsia="Times New Roman" w:hAnsi="Times New Roman" w:cs="Times New Roman"/>
          <w:color w:val="auto"/>
          <w:position w:val="0"/>
          <w:sz w:val="28"/>
          <w:szCs w:val="28"/>
          <w:lang w:val="en-US" w:eastAsia="en-US"/>
        </w:rPr>
        <w:t>khi đáp ứng các điều kiện sau đây:</w:t>
      </w:r>
    </w:p>
    <w:p w14:paraId="3B934436" w14:textId="77777777" w:rsidR="00C84E3E" w:rsidRPr="00CC0061" w:rsidRDefault="00C84E3E" w:rsidP="00DF2532">
      <w:pPr>
        <w:widowControl/>
        <w:suppressAutoHyphens w:val="0"/>
        <w:spacing w:before="60" w:after="60" w:line="240" w:lineRule="auto"/>
        <w:ind w:leftChars="0" w:left="-2" w:firstLineChars="203" w:firstLine="568"/>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CC0061">
        <w:rPr>
          <w:rFonts w:ascii="Times New Roman" w:eastAsia="Times New Roman" w:hAnsi="Times New Roman" w:cs="Times New Roman"/>
          <w:color w:val="auto"/>
          <w:position w:val="0"/>
          <w:sz w:val="28"/>
          <w:szCs w:val="28"/>
          <w:lang w:val="en-US" w:eastAsia="en-US"/>
        </w:rPr>
        <w:t>a)</w:t>
      </w:r>
      <w:r w:rsidR="006D3D82" w:rsidRPr="00CC0061">
        <w:rPr>
          <w:rFonts w:ascii="Times New Roman" w:eastAsia="Times New Roman" w:hAnsi="Times New Roman" w:cs="Times New Roman"/>
          <w:color w:val="auto"/>
          <w:position w:val="0"/>
          <w:sz w:val="28"/>
          <w:szCs w:val="28"/>
          <w:lang w:val="en-US" w:eastAsia="en-US"/>
        </w:rPr>
        <w:t xml:space="preserve"> </w:t>
      </w:r>
      <w:r w:rsidRPr="00CC0061">
        <w:rPr>
          <w:rFonts w:ascii="Times New Roman" w:eastAsia="Times New Roman" w:hAnsi="Times New Roman" w:cs="Times New Roman"/>
          <w:color w:val="auto"/>
          <w:position w:val="0"/>
          <w:sz w:val="28"/>
          <w:szCs w:val="28"/>
          <w:lang w:val="en-US" w:eastAsia="en-US"/>
        </w:rPr>
        <w:t>C</w:t>
      </w:r>
      <w:r w:rsidR="006D3D82" w:rsidRPr="00CC0061">
        <w:rPr>
          <w:rFonts w:ascii="Times New Roman" w:eastAsia="Times New Roman" w:hAnsi="Times New Roman" w:cs="Times New Roman"/>
          <w:color w:val="auto"/>
          <w:position w:val="0"/>
          <w:sz w:val="28"/>
          <w:szCs w:val="28"/>
          <w:lang w:val="en-US" w:eastAsia="en-US"/>
        </w:rPr>
        <w:t>ó</w:t>
      </w:r>
      <w:r w:rsidR="00004BA4" w:rsidRPr="00CC0061">
        <w:rPr>
          <w:rFonts w:ascii="Times New Roman" w:eastAsia="Times New Roman" w:hAnsi="Times New Roman" w:cs="Times New Roman"/>
          <w:color w:val="auto"/>
          <w:position w:val="0"/>
          <w:sz w:val="28"/>
          <w:szCs w:val="28"/>
          <w:lang w:val="en-US" w:eastAsia="en-US"/>
        </w:rPr>
        <w:t xml:space="preserve"> hồ sơ, tài liệu chứng minh đã thực hiện tất cả các biện pháp thu hồi nợ nhưng không thu được nợ</w:t>
      </w:r>
      <w:r w:rsidRPr="00CC0061">
        <w:rPr>
          <w:rFonts w:ascii="Times New Roman" w:eastAsia="Times New Roman" w:hAnsi="Times New Roman" w:cs="Times New Roman"/>
          <w:color w:val="auto"/>
          <w:position w:val="0"/>
          <w:sz w:val="28"/>
          <w:szCs w:val="28"/>
          <w:lang w:val="en-US" w:eastAsia="en-US"/>
        </w:rPr>
        <w:t>;</w:t>
      </w:r>
    </w:p>
    <w:p w14:paraId="1BAC96EC" w14:textId="77777777" w:rsidR="00004BA4" w:rsidRPr="00CC0061" w:rsidRDefault="002435F6" w:rsidP="00DF2532">
      <w:pPr>
        <w:widowControl/>
        <w:suppressAutoHyphens w:val="0"/>
        <w:spacing w:before="60" w:after="60" w:line="240" w:lineRule="auto"/>
        <w:ind w:leftChars="0" w:left="-2" w:firstLineChars="203" w:firstLine="568"/>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CC0061">
        <w:rPr>
          <w:rFonts w:ascii="Times New Roman" w:eastAsia="Times New Roman" w:hAnsi="Times New Roman" w:cs="Times New Roman"/>
          <w:color w:val="auto"/>
          <w:position w:val="0"/>
          <w:sz w:val="28"/>
          <w:szCs w:val="28"/>
          <w:lang w:val="en-US" w:eastAsia="en-US"/>
        </w:rPr>
        <w:t>b) Phải được Hội đồng thành viên thông qua.</w:t>
      </w:r>
    </w:p>
    <w:p w14:paraId="4726A444" w14:textId="77777777" w:rsidR="00D0633B" w:rsidRPr="00CC0061" w:rsidRDefault="002435F6" w:rsidP="00DF2532">
      <w:pPr>
        <w:widowControl/>
        <w:suppressAutoHyphens w:val="0"/>
        <w:spacing w:before="60" w:after="60" w:line="240" w:lineRule="auto"/>
        <w:ind w:leftChars="0" w:left="-2" w:firstLineChars="203" w:firstLine="568"/>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CC0061">
        <w:rPr>
          <w:rFonts w:ascii="Times New Roman" w:eastAsia="Times New Roman" w:hAnsi="Times New Roman" w:cs="Times New Roman"/>
          <w:color w:val="auto"/>
          <w:position w:val="0"/>
          <w:sz w:val="28"/>
          <w:szCs w:val="28"/>
          <w:lang w:val="en-US" w:eastAsia="en-US"/>
        </w:rPr>
        <w:t>5</w:t>
      </w:r>
      <w:r w:rsidR="00004BA4" w:rsidRPr="00CC0061">
        <w:rPr>
          <w:rFonts w:ascii="Times New Roman" w:eastAsia="Times New Roman" w:hAnsi="Times New Roman" w:cs="Times New Roman"/>
          <w:color w:val="auto"/>
          <w:position w:val="0"/>
          <w:sz w:val="28"/>
          <w:szCs w:val="28"/>
          <w:lang w:val="en-US" w:eastAsia="en-US"/>
        </w:rPr>
        <w:t xml:space="preserve">. Đối với chi nhánh ngân hàng nước ngoài, việc xuất toán nợ ra khỏi ngoại bảng quy định tại khoản 1 Điều </w:t>
      </w:r>
      <w:r w:rsidR="006D3D82" w:rsidRPr="00CC0061">
        <w:rPr>
          <w:rFonts w:ascii="Times New Roman" w:eastAsia="Times New Roman" w:hAnsi="Times New Roman" w:cs="Times New Roman"/>
          <w:color w:val="auto"/>
          <w:position w:val="0"/>
          <w:sz w:val="28"/>
          <w:szCs w:val="28"/>
          <w:lang w:val="en-US" w:eastAsia="en-US"/>
        </w:rPr>
        <w:t xml:space="preserve">này chỉ được thực hiện </w:t>
      </w:r>
      <w:r w:rsidR="00D0633B" w:rsidRPr="00CC0061">
        <w:rPr>
          <w:rFonts w:ascii="Times New Roman" w:eastAsia="Times New Roman" w:hAnsi="Times New Roman" w:cs="Times New Roman"/>
          <w:color w:val="auto"/>
          <w:position w:val="0"/>
          <w:sz w:val="28"/>
          <w:szCs w:val="28"/>
          <w:lang w:val="en-US" w:eastAsia="en-US"/>
        </w:rPr>
        <w:t>khi đáp ứng các điều kiện sau đây:</w:t>
      </w:r>
    </w:p>
    <w:p w14:paraId="307897F3" w14:textId="77777777" w:rsidR="00D0633B" w:rsidRPr="00CC0061" w:rsidRDefault="00D0633B" w:rsidP="00DF2532">
      <w:pPr>
        <w:widowControl/>
        <w:suppressAutoHyphens w:val="0"/>
        <w:spacing w:before="60" w:after="60" w:line="240" w:lineRule="auto"/>
        <w:ind w:leftChars="0" w:left="-2" w:firstLineChars="203" w:firstLine="568"/>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CC0061">
        <w:rPr>
          <w:rFonts w:ascii="Times New Roman" w:eastAsia="Times New Roman" w:hAnsi="Times New Roman" w:cs="Times New Roman"/>
          <w:color w:val="auto"/>
          <w:position w:val="0"/>
          <w:sz w:val="28"/>
          <w:szCs w:val="28"/>
          <w:lang w:val="en-US" w:eastAsia="en-US"/>
        </w:rPr>
        <w:t>a)</w:t>
      </w:r>
      <w:r w:rsidR="006D3D82" w:rsidRPr="00CC0061">
        <w:rPr>
          <w:rFonts w:ascii="Times New Roman" w:eastAsia="Times New Roman" w:hAnsi="Times New Roman" w:cs="Times New Roman"/>
          <w:color w:val="auto"/>
          <w:position w:val="0"/>
          <w:sz w:val="28"/>
          <w:szCs w:val="28"/>
          <w:lang w:val="en-US" w:eastAsia="en-US"/>
        </w:rPr>
        <w:t xml:space="preserve"> </w:t>
      </w:r>
      <w:r w:rsidRPr="00CC0061">
        <w:rPr>
          <w:rFonts w:ascii="Times New Roman" w:eastAsia="Times New Roman" w:hAnsi="Times New Roman" w:cs="Times New Roman"/>
          <w:color w:val="auto"/>
          <w:position w:val="0"/>
          <w:sz w:val="28"/>
          <w:szCs w:val="28"/>
          <w:lang w:val="en-US" w:eastAsia="en-US"/>
        </w:rPr>
        <w:t>C</w:t>
      </w:r>
      <w:r w:rsidR="006D3D82" w:rsidRPr="00CC0061">
        <w:rPr>
          <w:rFonts w:ascii="Times New Roman" w:eastAsia="Times New Roman" w:hAnsi="Times New Roman" w:cs="Times New Roman"/>
          <w:color w:val="auto"/>
          <w:position w:val="0"/>
          <w:sz w:val="28"/>
          <w:szCs w:val="28"/>
          <w:lang w:val="en-US" w:eastAsia="en-US"/>
        </w:rPr>
        <w:t>ó</w:t>
      </w:r>
      <w:r w:rsidR="00004BA4" w:rsidRPr="00CC0061">
        <w:rPr>
          <w:rFonts w:ascii="Times New Roman" w:eastAsia="Times New Roman" w:hAnsi="Times New Roman" w:cs="Times New Roman"/>
          <w:color w:val="auto"/>
          <w:position w:val="0"/>
          <w:sz w:val="28"/>
          <w:szCs w:val="28"/>
          <w:lang w:val="en-US" w:eastAsia="en-US"/>
        </w:rPr>
        <w:t xml:space="preserve"> hồ sơ, tài liệu chứng minh đã thực hiện tất cả các biện pháp thu h</w:t>
      </w:r>
      <w:r w:rsidRPr="00CC0061">
        <w:rPr>
          <w:rFonts w:ascii="Times New Roman" w:eastAsia="Times New Roman" w:hAnsi="Times New Roman" w:cs="Times New Roman"/>
          <w:color w:val="auto"/>
          <w:position w:val="0"/>
          <w:sz w:val="28"/>
          <w:szCs w:val="28"/>
          <w:lang w:val="en-US" w:eastAsia="en-US"/>
        </w:rPr>
        <w:t>ồi nợ nhưng không thu được nợ;</w:t>
      </w:r>
    </w:p>
    <w:p w14:paraId="1D6A178D" w14:textId="77777777" w:rsidR="00004BA4" w:rsidRPr="00CC0061" w:rsidRDefault="00D0633B" w:rsidP="00DF2532">
      <w:pPr>
        <w:widowControl/>
        <w:suppressAutoHyphens w:val="0"/>
        <w:spacing w:before="60" w:after="60" w:line="240" w:lineRule="auto"/>
        <w:ind w:leftChars="0" w:left="-2" w:firstLineChars="203" w:firstLine="568"/>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CC0061">
        <w:rPr>
          <w:rFonts w:ascii="Times New Roman" w:eastAsia="Times New Roman" w:hAnsi="Times New Roman" w:cs="Times New Roman"/>
          <w:color w:val="auto"/>
          <w:position w:val="0"/>
          <w:sz w:val="28"/>
          <w:szCs w:val="28"/>
          <w:lang w:val="en-US" w:eastAsia="en-US"/>
        </w:rPr>
        <w:t>b) P</w:t>
      </w:r>
      <w:r w:rsidR="00004BA4" w:rsidRPr="00CC0061">
        <w:rPr>
          <w:rFonts w:ascii="Times New Roman" w:eastAsia="Times New Roman" w:hAnsi="Times New Roman" w:cs="Times New Roman"/>
          <w:color w:val="auto"/>
          <w:position w:val="0"/>
          <w:sz w:val="28"/>
          <w:szCs w:val="28"/>
          <w:lang w:val="en-US" w:eastAsia="en-US"/>
        </w:rPr>
        <w:t>hải được</w:t>
      </w:r>
      <w:r w:rsidRPr="00CC0061">
        <w:rPr>
          <w:rFonts w:ascii="Times New Roman" w:eastAsia="Times New Roman" w:hAnsi="Times New Roman" w:cs="Times New Roman"/>
          <w:color w:val="auto"/>
          <w:position w:val="0"/>
          <w:sz w:val="28"/>
          <w:szCs w:val="28"/>
          <w:lang w:val="en-US" w:eastAsia="en-US"/>
        </w:rPr>
        <w:t xml:space="preserve"> ngân hàng nước ngoài chấp thuận</w:t>
      </w:r>
      <w:r w:rsidR="00004BA4" w:rsidRPr="00CC0061">
        <w:rPr>
          <w:rFonts w:ascii="Times New Roman" w:eastAsia="Times New Roman" w:hAnsi="Times New Roman" w:cs="Times New Roman"/>
          <w:color w:val="auto"/>
          <w:position w:val="0"/>
          <w:sz w:val="28"/>
          <w:szCs w:val="28"/>
          <w:lang w:val="en-US" w:eastAsia="en-US"/>
        </w:rPr>
        <w:t>.</w:t>
      </w:r>
    </w:p>
    <w:p w14:paraId="0A1640A3" w14:textId="77777777" w:rsidR="00004BA4" w:rsidRPr="00CC0061" w:rsidRDefault="002435F6" w:rsidP="00DF2532">
      <w:pPr>
        <w:widowControl/>
        <w:suppressAutoHyphens w:val="0"/>
        <w:spacing w:before="60" w:after="60" w:line="240" w:lineRule="auto"/>
        <w:ind w:leftChars="0" w:left="-2" w:firstLineChars="203" w:firstLine="568"/>
        <w:jc w:val="both"/>
        <w:textDirection w:val="lrTb"/>
        <w:textAlignment w:val="auto"/>
        <w:outlineLvl w:val="9"/>
        <w:rPr>
          <w:rFonts w:ascii="Times New Roman" w:eastAsia="Times New Roman" w:hAnsi="Times New Roman" w:cs="Times New Roman"/>
          <w:iCs/>
          <w:color w:val="auto"/>
          <w:position w:val="0"/>
          <w:sz w:val="28"/>
          <w:szCs w:val="28"/>
          <w:lang w:val="en-US" w:eastAsia="en-US"/>
        </w:rPr>
      </w:pPr>
      <w:r w:rsidRPr="00CC0061">
        <w:rPr>
          <w:rFonts w:ascii="Times New Roman" w:eastAsia="Times New Roman" w:hAnsi="Times New Roman" w:cs="Times New Roman"/>
          <w:iCs/>
          <w:color w:val="auto"/>
          <w:position w:val="0"/>
          <w:sz w:val="28"/>
          <w:szCs w:val="28"/>
          <w:lang w:val="en-US" w:eastAsia="en-US"/>
        </w:rPr>
        <w:t>6</w:t>
      </w:r>
      <w:r w:rsidR="00004BA4" w:rsidRPr="00CC0061">
        <w:rPr>
          <w:rFonts w:ascii="Times New Roman" w:eastAsia="Times New Roman" w:hAnsi="Times New Roman" w:cs="Times New Roman"/>
          <w:iCs/>
          <w:color w:val="auto"/>
          <w:position w:val="0"/>
          <w:sz w:val="28"/>
          <w:szCs w:val="28"/>
          <w:lang w:val="en-US" w:eastAsia="en-US"/>
        </w:rPr>
        <w:t>. Hồ sơ xuất toán nợ ra khỏi ngoại bảng</w:t>
      </w:r>
      <w:r w:rsidR="00492002" w:rsidRPr="00CC0061">
        <w:rPr>
          <w:rFonts w:ascii="Times New Roman" w:eastAsia="Times New Roman" w:hAnsi="Times New Roman" w:cs="Times New Roman"/>
          <w:iCs/>
          <w:color w:val="auto"/>
          <w:position w:val="0"/>
          <w:sz w:val="28"/>
          <w:szCs w:val="28"/>
          <w:lang w:val="en-US" w:eastAsia="en-US"/>
        </w:rPr>
        <w:t xml:space="preserve"> quy định tại khoản 1 Điều này</w:t>
      </w:r>
      <w:r w:rsidR="00004BA4" w:rsidRPr="00CC0061">
        <w:rPr>
          <w:rFonts w:ascii="Times New Roman" w:eastAsia="Times New Roman" w:hAnsi="Times New Roman" w:cs="Times New Roman"/>
          <w:iCs/>
          <w:color w:val="auto"/>
          <w:position w:val="0"/>
          <w:sz w:val="28"/>
          <w:szCs w:val="28"/>
          <w:lang w:val="en-US" w:eastAsia="en-US"/>
        </w:rPr>
        <w:t xml:space="preserve"> gồm:</w:t>
      </w:r>
    </w:p>
    <w:p w14:paraId="12BA5A7A" w14:textId="77777777" w:rsidR="00004BA4" w:rsidRPr="00CC0061" w:rsidRDefault="00004BA4" w:rsidP="00DF2532">
      <w:pPr>
        <w:widowControl/>
        <w:suppressAutoHyphens w:val="0"/>
        <w:spacing w:before="60" w:after="60" w:line="240" w:lineRule="auto"/>
        <w:ind w:leftChars="0" w:left="-2" w:firstLineChars="203" w:firstLine="568"/>
        <w:jc w:val="both"/>
        <w:textDirection w:val="lrTb"/>
        <w:textAlignment w:val="auto"/>
        <w:outlineLvl w:val="9"/>
        <w:rPr>
          <w:rFonts w:ascii="Times New Roman" w:eastAsia="Times New Roman" w:hAnsi="Times New Roman" w:cs="Times New Roman"/>
          <w:iCs/>
          <w:color w:val="auto"/>
          <w:position w:val="0"/>
          <w:sz w:val="28"/>
          <w:szCs w:val="28"/>
          <w:lang w:val="en-US" w:eastAsia="en-US"/>
        </w:rPr>
      </w:pPr>
      <w:r w:rsidRPr="00CC0061">
        <w:rPr>
          <w:rFonts w:ascii="Times New Roman" w:eastAsia="Times New Roman" w:hAnsi="Times New Roman" w:cs="Times New Roman"/>
          <w:iCs/>
          <w:color w:val="auto"/>
          <w:position w:val="0"/>
          <w:sz w:val="28"/>
          <w:szCs w:val="28"/>
          <w:lang w:val="en-US" w:eastAsia="en-US"/>
        </w:rPr>
        <w:t>a) Hồ sơ xử lý rủi ro quy định tại khoản 4 Điều 16 Thông tư này;</w:t>
      </w:r>
    </w:p>
    <w:p w14:paraId="122DA2B6" w14:textId="77777777" w:rsidR="00004BA4" w:rsidRPr="00CC0061" w:rsidRDefault="00004BA4" w:rsidP="00DF2532">
      <w:pPr>
        <w:widowControl/>
        <w:suppressAutoHyphens w:val="0"/>
        <w:spacing w:before="60" w:after="60" w:line="240" w:lineRule="auto"/>
        <w:ind w:leftChars="0" w:left="-2" w:firstLineChars="203" w:firstLine="568"/>
        <w:jc w:val="both"/>
        <w:textDirection w:val="lrTb"/>
        <w:textAlignment w:val="auto"/>
        <w:outlineLvl w:val="9"/>
        <w:rPr>
          <w:rFonts w:ascii="Times New Roman" w:eastAsia="Times New Roman" w:hAnsi="Times New Roman" w:cs="Times New Roman"/>
          <w:iCs/>
          <w:color w:val="auto"/>
          <w:position w:val="0"/>
          <w:sz w:val="28"/>
          <w:szCs w:val="28"/>
          <w:lang w:val="en-US" w:eastAsia="en-US"/>
        </w:rPr>
      </w:pPr>
      <w:r w:rsidRPr="00CC0061">
        <w:rPr>
          <w:rFonts w:ascii="Times New Roman" w:eastAsia="Times New Roman" w:hAnsi="Times New Roman" w:cs="Times New Roman"/>
          <w:iCs/>
          <w:color w:val="auto"/>
          <w:position w:val="0"/>
          <w:sz w:val="28"/>
          <w:szCs w:val="28"/>
          <w:lang w:val="en-US" w:eastAsia="en-US"/>
        </w:rPr>
        <w:t>b) Quyết định hoặc phê duyệt của tổ chức tín dụng, chi nhánh ngân hàng nước ngoài về việc xuất toán khỏi ngoại bảng đối với nợ đã sử dụng dự phòng để xử lý rủi ro;</w:t>
      </w:r>
    </w:p>
    <w:p w14:paraId="7BC7CFEB" w14:textId="77777777" w:rsidR="00004BA4" w:rsidRPr="00CC0061" w:rsidRDefault="00004BA4" w:rsidP="00DF2532">
      <w:pPr>
        <w:widowControl/>
        <w:suppressAutoHyphens w:val="0"/>
        <w:spacing w:before="60" w:after="60" w:line="240" w:lineRule="auto"/>
        <w:ind w:leftChars="0" w:left="-2" w:firstLineChars="203" w:firstLine="568"/>
        <w:jc w:val="both"/>
        <w:textDirection w:val="lrTb"/>
        <w:textAlignment w:val="auto"/>
        <w:outlineLvl w:val="9"/>
        <w:rPr>
          <w:rFonts w:ascii="Times New Roman" w:eastAsia="Times New Roman" w:hAnsi="Times New Roman" w:cs="Times New Roman"/>
          <w:iCs/>
          <w:color w:val="auto"/>
          <w:position w:val="0"/>
          <w:sz w:val="28"/>
          <w:szCs w:val="28"/>
          <w:lang w:val="en-US" w:eastAsia="en-US"/>
        </w:rPr>
      </w:pPr>
      <w:r w:rsidRPr="00CC0061">
        <w:rPr>
          <w:rFonts w:ascii="Times New Roman" w:eastAsia="Times New Roman" w:hAnsi="Times New Roman" w:cs="Times New Roman"/>
          <w:iCs/>
          <w:color w:val="auto"/>
          <w:position w:val="0"/>
          <w:sz w:val="28"/>
          <w:szCs w:val="28"/>
          <w:lang w:val="en-US" w:eastAsia="en-US"/>
        </w:rPr>
        <w:t>c) Quyết định hoặc phê duyệt các biện pháp thu hồi nợ đối với khoản nợ đã được sử dụng dự phòng để xử lý rủi ro;</w:t>
      </w:r>
    </w:p>
    <w:p w14:paraId="3B80663A" w14:textId="77777777" w:rsidR="00004BA4" w:rsidRPr="00CC0061" w:rsidRDefault="00004BA4" w:rsidP="00DF2532">
      <w:pPr>
        <w:widowControl/>
        <w:suppressAutoHyphens w:val="0"/>
        <w:spacing w:before="60" w:after="60" w:line="240" w:lineRule="auto"/>
        <w:ind w:leftChars="0" w:left="-2" w:firstLineChars="203" w:firstLine="568"/>
        <w:jc w:val="both"/>
        <w:textDirection w:val="lrTb"/>
        <w:textAlignment w:val="auto"/>
        <w:outlineLvl w:val="9"/>
        <w:rPr>
          <w:rFonts w:ascii="Times New Roman" w:eastAsia="Times New Roman" w:hAnsi="Times New Roman" w:cs="Times New Roman"/>
          <w:iCs/>
          <w:color w:val="auto"/>
          <w:position w:val="0"/>
          <w:sz w:val="28"/>
          <w:szCs w:val="28"/>
          <w:lang w:val="en-US" w:eastAsia="en-US"/>
        </w:rPr>
      </w:pPr>
      <w:r w:rsidRPr="00CC0061">
        <w:rPr>
          <w:rFonts w:ascii="Times New Roman" w:eastAsia="Times New Roman" w:hAnsi="Times New Roman" w:cs="Times New Roman"/>
          <w:iCs/>
          <w:color w:val="auto"/>
          <w:position w:val="0"/>
          <w:sz w:val="28"/>
          <w:szCs w:val="28"/>
          <w:lang w:val="en-US" w:eastAsia="en-US"/>
        </w:rPr>
        <w:t>d) Tài liệu chứng minh đã thực hiện tất cả các biện pháp để thu hồi nợ nhưng không thu hồi được</w:t>
      </w:r>
      <w:r w:rsidR="0029221C" w:rsidRPr="00CC0061">
        <w:rPr>
          <w:rFonts w:ascii="Times New Roman" w:eastAsia="Times New Roman" w:hAnsi="Times New Roman" w:cs="Times New Roman"/>
          <w:iCs/>
          <w:color w:val="auto"/>
          <w:position w:val="0"/>
          <w:sz w:val="28"/>
          <w:szCs w:val="28"/>
          <w:lang w:val="en-US" w:eastAsia="en-US"/>
        </w:rPr>
        <w:t>,</w:t>
      </w:r>
      <w:r w:rsidRPr="00CC0061">
        <w:rPr>
          <w:rFonts w:ascii="Times New Roman" w:eastAsia="Times New Roman" w:hAnsi="Times New Roman" w:cs="Times New Roman"/>
          <w:iCs/>
          <w:color w:val="auto"/>
          <w:position w:val="0"/>
          <w:sz w:val="28"/>
          <w:szCs w:val="28"/>
          <w:lang w:val="en-US" w:eastAsia="en-US"/>
        </w:rPr>
        <w:t xml:space="preserve"> phù hợp thực tế và các quy định của pháp luật liên quan.</w:t>
      </w:r>
    </w:p>
    <w:p w14:paraId="47DEA2A6" w14:textId="77777777" w:rsidR="00004BA4" w:rsidRPr="00CC0061" w:rsidRDefault="00004BA4" w:rsidP="00DF2532">
      <w:pPr>
        <w:widowControl/>
        <w:suppressAutoHyphens w:val="0"/>
        <w:spacing w:before="60" w:after="60" w:line="240" w:lineRule="auto"/>
        <w:ind w:leftChars="0" w:left="-2" w:firstLineChars="203" w:firstLine="568"/>
        <w:jc w:val="both"/>
        <w:textDirection w:val="lrTb"/>
        <w:textAlignment w:val="auto"/>
        <w:outlineLvl w:val="9"/>
        <w:rPr>
          <w:rFonts w:ascii="Times New Roman" w:eastAsia="Times New Roman" w:hAnsi="Times New Roman" w:cs="Times New Roman"/>
          <w:iCs/>
          <w:color w:val="auto"/>
          <w:position w:val="0"/>
          <w:sz w:val="28"/>
          <w:szCs w:val="28"/>
          <w:lang w:val="en-US" w:eastAsia="en-US"/>
        </w:rPr>
      </w:pPr>
      <w:r w:rsidRPr="00CC0061">
        <w:rPr>
          <w:rFonts w:ascii="Times New Roman" w:eastAsia="Times New Roman" w:hAnsi="Times New Roman" w:cs="Times New Roman"/>
          <w:iCs/>
          <w:color w:val="auto"/>
          <w:position w:val="0"/>
          <w:sz w:val="28"/>
          <w:szCs w:val="28"/>
          <w:lang w:val="en-US" w:eastAsia="en-US"/>
        </w:rPr>
        <w:t>Hồ sơ xuất toán nợ đã xử lý rủi ro ra khỏi ngoại bảng phải được tổ chức tín dụng, chi nhánh ngân hàng nước ngoài lưu giữ theo quy định của pháp luật.</w:t>
      </w:r>
    </w:p>
    <w:p w14:paraId="4312A381" w14:textId="77777777" w:rsidR="00004BA4" w:rsidRPr="00CC0061" w:rsidRDefault="00004BA4" w:rsidP="00DF2532">
      <w:pPr>
        <w:widowControl/>
        <w:suppressAutoHyphens w:val="0"/>
        <w:spacing w:before="60" w:after="60" w:line="240" w:lineRule="auto"/>
        <w:ind w:leftChars="0" w:left="0" w:firstLineChars="203" w:firstLine="571"/>
        <w:jc w:val="both"/>
        <w:textDirection w:val="lrTb"/>
        <w:textAlignment w:val="auto"/>
        <w:outlineLvl w:val="9"/>
        <w:rPr>
          <w:rFonts w:ascii="Times New Roman" w:eastAsia="Times New Roman" w:hAnsi="Times New Roman" w:cs="Times New Roman"/>
          <w:b/>
          <w:bCs/>
          <w:color w:val="auto"/>
          <w:position w:val="0"/>
          <w:sz w:val="28"/>
          <w:szCs w:val="28"/>
          <w:lang w:val="en-US" w:eastAsia="en-US"/>
        </w:rPr>
      </w:pPr>
      <w:r w:rsidRPr="00CC0061">
        <w:rPr>
          <w:rFonts w:ascii="Times New Roman" w:eastAsia="Times New Roman" w:hAnsi="Times New Roman" w:cs="Times New Roman"/>
          <w:b/>
          <w:bCs/>
          <w:color w:val="auto"/>
          <w:position w:val="0"/>
          <w:sz w:val="28"/>
          <w:szCs w:val="28"/>
          <w:lang w:val="en-US" w:eastAsia="en-US"/>
        </w:rPr>
        <w:t>Điều 18. Nguyên tắc xử lý trong trường hợp có bằng chứng chắc chắn chứng minh tổn thất về tài sản đối với khoản nợ</w:t>
      </w:r>
    </w:p>
    <w:p w14:paraId="3D17669A" w14:textId="77777777" w:rsidR="00004BA4" w:rsidRPr="00CC0061" w:rsidRDefault="00004BA4" w:rsidP="00DF2532">
      <w:pPr>
        <w:widowControl/>
        <w:suppressAutoHyphens w:val="0"/>
        <w:spacing w:before="60" w:after="60" w:line="240" w:lineRule="auto"/>
        <w:ind w:leftChars="0" w:left="-2" w:firstLineChars="203" w:firstLine="568"/>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CC0061">
        <w:rPr>
          <w:rFonts w:ascii="Times New Roman" w:eastAsia="Times New Roman" w:hAnsi="Times New Roman" w:cs="Times New Roman"/>
          <w:color w:val="auto"/>
          <w:position w:val="0"/>
          <w:sz w:val="28"/>
          <w:szCs w:val="28"/>
          <w:lang w:val="en-US" w:eastAsia="en-US"/>
        </w:rPr>
        <w:t xml:space="preserve">Trong quá trình hoạt động, bao gồm cả trường hợp quy định tại Điều 16, </w:t>
      </w:r>
      <w:r w:rsidR="00492002" w:rsidRPr="00CC0061">
        <w:rPr>
          <w:rFonts w:ascii="Times New Roman" w:eastAsia="Times New Roman" w:hAnsi="Times New Roman" w:cs="Times New Roman"/>
          <w:color w:val="auto"/>
          <w:position w:val="0"/>
          <w:sz w:val="28"/>
          <w:szCs w:val="28"/>
          <w:lang w:val="en-US" w:eastAsia="en-US"/>
        </w:rPr>
        <w:t xml:space="preserve">Điều </w:t>
      </w:r>
      <w:r w:rsidRPr="00CC0061">
        <w:rPr>
          <w:rFonts w:ascii="Times New Roman" w:eastAsia="Times New Roman" w:hAnsi="Times New Roman" w:cs="Times New Roman"/>
          <w:color w:val="auto"/>
          <w:position w:val="0"/>
          <w:sz w:val="28"/>
          <w:szCs w:val="28"/>
          <w:lang w:val="en-US" w:eastAsia="en-US"/>
        </w:rPr>
        <w:t xml:space="preserve">17 Thông tư này, trường hợp có bằng chứng chắc chắn chứng minh tổn thất về tài sản đối với khoản nợ, tổ chức tín dụng, chi nhánh ngân hàng nước ngoài </w:t>
      </w:r>
      <w:r w:rsidR="00492002" w:rsidRPr="00CC0061">
        <w:rPr>
          <w:rFonts w:ascii="Times New Roman" w:eastAsia="Times New Roman" w:hAnsi="Times New Roman" w:cs="Times New Roman"/>
          <w:color w:val="auto"/>
          <w:position w:val="0"/>
          <w:sz w:val="28"/>
          <w:szCs w:val="28"/>
          <w:lang w:val="en-US" w:eastAsia="en-US"/>
        </w:rPr>
        <w:t>xử lý theo nguyên tắc</w:t>
      </w:r>
      <w:r w:rsidRPr="00CC0061">
        <w:rPr>
          <w:rFonts w:ascii="Times New Roman" w:eastAsia="Times New Roman" w:hAnsi="Times New Roman" w:cs="Times New Roman"/>
          <w:color w:val="auto"/>
          <w:position w:val="0"/>
          <w:sz w:val="28"/>
          <w:szCs w:val="28"/>
          <w:lang w:val="en-US" w:eastAsia="en-US"/>
        </w:rPr>
        <w:t xml:space="preserve"> như sau:</w:t>
      </w:r>
    </w:p>
    <w:p w14:paraId="45C7FA83" w14:textId="77777777" w:rsidR="00004BA4" w:rsidRPr="00CC0061" w:rsidRDefault="00004BA4" w:rsidP="00DF2532">
      <w:pPr>
        <w:widowControl/>
        <w:suppressAutoHyphens w:val="0"/>
        <w:spacing w:before="60" w:after="60" w:line="240" w:lineRule="auto"/>
        <w:ind w:leftChars="0" w:left="-2" w:firstLineChars="203" w:firstLine="568"/>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CC0061">
        <w:rPr>
          <w:rFonts w:ascii="Times New Roman" w:eastAsia="Times New Roman" w:hAnsi="Times New Roman" w:cs="Times New Roman"/>
          <w:color w:val="auto"/>
          <w:position w:val="0"/>
          <w:sz w:val="28"/>
          <w:szCs w:val="28"/>
          <w:lang w:val="en-US" w:eastAsia="en-US"/>
        </w:rPr>
        <w:t>1. Xử lý tài sản bảo đảm theo thỏa thuận của các bên phù hợp với quy định của pháp luật, trừ trường hợp quy định tại điểm a khoản 2 Điều 16 Thông tư này.</w:t>
      </w:r>
    </w:p>
    <w:p w14:paraId="23E241E4" w14:textId="77777777" w:rsidR="00004BA4" w:rsidRPr="00CC0061" w:rsidRDefault="00004BA4" w:rsidP="0050130D">
      <w:pPr>
        <w:widowControl/>
        <w:suppressAutoHyphens w:val="0"/>
        <w:spacing w:before="60" w:after="60" w:line="252" w:lineRule="auto"/>
        <w:ind w:leftChars="0" w:left="-2" w:firstLineChars="203" w:firstLine="568"/>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CC0061">
        <w:rPr>
          <w:rFonts w:ascii="Times New Roman" w:eastAsia="Times New Roman" w:hAnsi="Times New Roman" w:cs="Times New Roman"/>
          <w:color w:val="auto"/>
          <w:position w:val="0"/>
          <w:sz w:val="28"/>
          <w:szCs w:val="28"/>
          <w:lang w:val="en-US" w:eastAsia="en-US"/>
        </w:rPr>
        <w:lastRenderedPageBreak/>
        <w:t>2. Xác định nguyên nhân, trách nhiệm và xử lý như sau:</w:t>
      </w:r>
    </w:p>
    <w:p w14:paraId="3A069A8D" w14:textId="77777777" w:rsidR="00004BA4" w:rsidRPr="00CC0061" w:rsidRDefault="00004BA4" w:rsidP="0050130D">
      <w:pPr>
        <w:widowControl/>
        <w:suppressAutoHyphens w:val="0"/>
        <w:spacing w:before="60" w:after="60" w:line="252" w:lineRule="auto"/>
        <w:ind w:leftChars="0" w:left="-2" w:firstLineChars="203" w:firstLine="568"/>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CC0061">
        <w:rPr>
          <w:rFonts w:ascii="Times New Roman" w:eastAsia="Times New Roman" w:hAnsi="Times New Roman" w:cs="Times New Roman"/>
          <w:color w:val="auto"/>
          <w:position w:val="0"/>
          <w:sz w:val="28"/>
          <w:szCs w:val="28"/>
          <w:lang w:val="en-US" w:eastAsia="en-US"/>
        </w:rPr>
        <w:t>a) Trường hợp do nguyên nhân chủ quan thì người gây ra tổn thất phải bồi thường. Thẩm quyền quyết định mức bồi thường thực hiện theo Điều lệ của tổ chức tín dụng, chi nhánh ngân hàng nước ngoài. Việc xử lý trách nhiệm của người gây ra tổn thất thực h</w:t>
      </w:r>
      <w:r w:rsidR="008B65B5">
        <w:rPr>
          <w:rFonts w:ascii="Times New Roman" w:eastAsia="Times New Roman" w:hAnsi="Times New Roman" w:cs="Times New Roman"/>
          <w:color w:val="auto"/>
          <w:position w:val="0"/>
          <w:sz w:val="28"/>
          <w:szCs w:val="28"/>
          <w:lang w:val="en-US" w:eastAsia="en-US"/>
        </w:rPr>
        <w:t>iện theo quy định của pháp luật;</w:t>
      </w:r>
    </w:p>
    <w:p w14:paraId="2A63DB15" w14:textId="77777777" w:rsidR="00004BA4" w:rsidRPr="00CC0061" w:rsidRDefault="00004BA4" w:rsidP="0050130D">
      <w:pPr>
        <w:widowControl/>
        <w:suppressAutoHyphens w:val="0"/>
        <w:spacing w:before="60" w:after="60" w:line="252" w:lineRule="auto"/>
        <w:ind w:leftChars="0" w:left="-2" w:firstLineChars="203" w:firstLine="568"/>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CC0061">
        <w:rPr>
          <w:rFonts w:ascii="Times New Roman" w:eastAsia="Times New Roman" w:hAnsi="Times New Roman" w:cs="Times New Roman"/>
          <w:color w:val="auto"/>
          <w:position w:val="0"/>
          <w:sz w:val="28"/>
          <w:szCs w:val="28"/>
          <w:lang w:val="en-US" w:eastAsia="en-US"/>
        </w:rPr>
        <w:t>b) Trường hợp tài sản đã mua bảo hiểm thì xử lý theo hợp đồng bảo h</w:t>
      </w:r>
      <w:r w:rsidR="008B65B5">
        <w:rPr>
          <w:rFonts w:ascii="Times New Roman" w:eastAsia="Times New Roman" w:hAnsi="Times New Roman" w:cs="Times New Roman"/>
          <w:color w:val="auto"/>
          <w:position w:val="0"/>
          <w:sz w:val="28"/>
          <w:szCs w:val="28"/>
          <w:lang w:val="en-US" w:eastAsia="en-US"/>
        </w:rPr>
        <w:t>iểm;</w:t>
      </w:r>
    </w:p>
    <w:p w14:paraId="53D86F86" w14:textId="77777777" w:rsidR="00004BA4" w:rsidRPr="00CC0061" w:rsidRDefault="00004BA4" w:rsidP="0050130D">
      <w:pPr>
        <w:widowControl/>
        <w:suppressAutoHyphens w:val="0"/>
        <w:spacing w:before="60" w:after="60" w:line="252" w:lineRule="auto"/>
        <w:ind w:leftChars="0" w:left="-2" w:firstLineChars="203" w:firstLine="568"/>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CC0061">
        <w:rPr>
          <w:rFonts w:ascii="Times New Roman" w:eastAsia="Times New Roman" w:hAnsi="Times New Roman" w:cs="Times New Roman"/>
          <w:color w:val="auto"/>
          <w:position w:val="0"/>
          <w:sz w:val="28"/>
          <w:szCs w:val="28"/>
          <w:lang w:val="en-US" w:eastAsia="en-US"/>
        </w:rPr>
        <w:t>c) Sử dụng khoản dự phòng được trích lập trong chi phí để bù đắp theo quy định của pháp luật, trừ trường hợp quy định tạ</w:t>
      </w:r>
      <w:r w:rsidR="008B65B5">
        <w:rPr>
          <w:rFonts w:ascii="Times New Roman" w:eastAsia="Times New Roman" w:hAnsi="Times New Roman" w:cs="Times New Roman"/>
          <w:color w:val="auto"/>
          <w:position w:val="0"/>
          <w:sz w:val="28"/>
          <w:szCs w:val="28"/>
          <w:lang w:val="en-US" w:eastAsia="en-US"/>
        </w:rPr>
        <w:t>i khoản 2 Điều 16 Thông tư này;</w:t>
      </w:r>
    </w:p>
    <w:p w14:paraId="313B38AE" w14:textId="77777777" w:rsidR="004A5EBB" w:rsidRPr="00CC0061" w:rsidRDefault="00004BA4" w:rsidP="0050130D">
      <w:pPr>
        <w:suppressAutoHyphens w:val="0"/>
        <w:spacing w:after="120" w:line="252" w:lineRule="auto"/>
        <w:ind w:leftChars="0" w:left="0" w:firstLineChars="203" w:firstLine="568"/>
        <w:jc w:val="both"/>
        <w:textDirection w:val="lrTb"/>
        <w:textAlignment w:val="auto"/>
        <w:outlineLvl w:val="9"/>
        <w:rPr>
          <w:rFonts w:ascii="Times New Roman" w:eastAsia="Times New Roman" w:hAnsi="Times New Roman" w:cs="Times New Roman"/>
          <w:color w:val="auto"/>
          <w:position w:val="0"/>
          <w:sz w:val="28"/>
          <w:szCs w:val="28"/>
          <w:lang w:val="en-US" w:eastAsia="en-US"/>
        </w:rPr>
      </w:pPr>
      <w:r w:rsidRPr="00CC0061">
        <w:rPr>
          <w:rFonts w:ascii="Times New Roman" w:eastAsia="Times New Roman" w:hAnsi="Times New Roman" w:cs="Times New Roman"/>
          <w:color w:val="auto"/>
          <w:position w:val="0"/>
          <w:sz w:val="28"/>
          <w:szCs w:val="28"/>
          <w:lang w:val="en-US" w:eastAsia="en-US"/>
        </w:rPr>
        <w:t xml:space="preserve">d) Giá trị tổn thất sau khi đã bù đắp bằng tiền bồi thường của cá nhân, tập thể, tổ chức bảo hiểm và sử dụng dự phòng được trích lập trong chi phí, trường hợp thiếu được bù đắp bằng quỹ dự phòng tài chính của tổ chức tín dụng, chi nhánh ngân hàng nước ngoài. Trường hợp quỹ dự phòng tài chính không đủ bù đắp thì phần thiếu được hạch toán vào chi phí khác trong </w:t>
      </w:r>
      <w:r w:rsidR="007D3AE3" w:rsidRPr="00CC0061">
        <w:rPr>
          <w:rFonts w:ascii="Times New Roman" w:eastAsia="Times New Roman" w:hAnsi="Times New Roman" w:cs="Times New Roman"/>
          <w:color w:val="auto"/>
          <w:position w:val="0"/>
          <w:sz w:val="28"/>
          <w:szCs w:val="28"/>
          <w:lang w:val="en-US" w:eastAsia="en-US"/>
        </w:rPr>
        <w:t xml:space="preserve">cùng </w:t>
      </w:r>
      <w:r w:rsidRPr="00CC0061">
        <w:rPr>
          <w:rFonts w:ascii="Times New Roman" w:eastAsia="Times New Roman" w:hAnsi="Times New Roman" w:cs="Times New Roman"/>
          <w:color w:val="auto"/>
          <w:position w:val="0"/>
          <w:sz w:val="28"/>
          <w:szCs w:val="28"/>
          <w:lang w:val="en-US" w:eastAsia="en-US"/>
        </w:rPr>
        <w:t>kỳ</w:t>
      </w:r>
      <w:r w:rsidR="007D3AE3" w:rsidRPr="00CC0061">
        <w:rPr>
          <w:rFonts w:ascii="Times New Roman" w:eastAsia="Times New Roman" w:hAnsi="Times New Roman" w:cs="Times New Roman"/>
          <w:color w:val="auto"/>
          <w:position w:val="0"/>
          <w:sz w:val="28"/>
          <w:szCs w:val="28"/>
          <w:lang w:val="en-US" w:eastAsia="en-US"/>
        </w:rPr>
        <w:t xml:space="preserve"> kế toán</w:t>
      </w:r>
      <w:r w:rsidRPr="00CC0061">
        <w:rPr>
          <w:rFonts w:ascii="Times New Roman" w:eastAsia="Times New Roman" w:hAnsi="Times New Roman" w:cs="Times New Roman"/>
          <w:color w:val="auto"/>
          <w:position w:val="0"/>
          <w:sz w:val="28"/>
          <w:szCs w:val="28"/>
          <w:lang w:val="en-US" w:eastAsia="en-US"/>
        </w:rPr>
        <w:t>.</w:t>
      </w:r>
    </w:p>
    <w:p w14:paraId="47FA2C40" w14:textId="77777777" w:rsidR="00133F17" w:rsidRPr="00CC0061" w:rsidRDefault="008842DA" w:rsidP="0050130D">
      <w:pPr>
        <w:widowControl/>
        <w:spacing w:before="120" w:after="120" w:line="252" w:lineRule="auto"/>
        <w:ind w:left="-2" w:firstLineChars="203" w:firstLine="571"/>
        <w:jc w:val="both"/>
        <w:rPr>
          <w:rFonts w:ascii="Times New Roman" w:eastAsia="Times New Roman" w:hAnsi="Times New Roman" w:cs="Times New Roman"/>
          <w:sz w:val="28"/>
          <w:szCs w:val="28"/>
        </w:rPr>
      </w:pPr>
      <w:bookmarkStart w:id="17" w:name="bookmark=id.3as4poj" w:colFirst="0" w:colLast="0"/>
      <w:bookmarkEnd w:id="17"/>
      <w:r w:rsidRPr="00CC0061">
        <w:rPr>
          <w:rFonts w:ascii="Times New Roman" w:eastAsia="Times New Roman" w:hAnsi="Times New Roman" w:cs="Times New Roman"/>
          <w:b/>
          <w:sz w:val="28"/>
          <w:szCs w:val="28"/>
        </w:rPr>
        <w:t>Điều 1</w:t>
      </w:r>
      <w:r w:rsidR="004A5EBB" w:rsidRPr="00CC0061">
        <w:rPr>
          <w:rFonts w:ascii="Times New Roman" w:eastAsia="Times New Roman" w:hAnsi="Times New Roman" w:cs="Times New Roman"/>
          <w:b/>
          <w:sz w:val="28"/>
          <w:szCs w:val="28"/>
          <w:lang w:val="en-US"/>
        </w:rPr>
        <w:t>9</w:t>
      </w:r>
      <w:r w:rsidRPr="00CC0061">
        <w:rPr>
          <w:rFonts w:ascii="Times New Roman" w:eastAsia="Times New Roman" w:hAnsi="Times New Roman" w:cs="Times New Roman"/>
          <w:b/>
          <w:sz w:val="28"/>
          <w:szCs w:val="28"/>
        </w:rPr>
        <w:t>. Xử lý đối với số tiền thu hồi được từ nợ đã sử dụng dự phòng để xử lý rủi ro</w:t>
      </w:r>
    </w:p>
    <w:p w14:paraId="63806033" w14:textId="77777777" w:rsidR="00133F17" w:rsidRPr="00CC0061" w:rsidRDefault="008842DA" w:rsidP="0050130D">
      <w:pPr>
        <w:widowControl/>
        <w:spacing w:before="120" w:after="120" w:line="252" w:lineRule="auto"/>
        <w:ind w:left="-2" w:firstLineChars="203" w:firstLine="568"/>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Số tiền thu hồi được từ nợ đã</w:t>
      </w:r>
      <w:r w:rsidR="00A97C24">
        <w:rPr>
          <w:rFonts w:ascii="Times New Roman" w:eastAsia="Times New Roman" w:hAnsi="Times New Roman" w:cs="Times New Roman"/>
          <w:sz w:val="28"/>
          <w:szCs w:val="28"/>
          <w:lang w:val="en-US"/>
        </w:rPr>
        <w:t xml:space="preserve"> sử dụng dự phòng để</w:t>
      </w:r>
      <w:r w:rsidRPr="00CC0061">
        <w:rPr>
          <w:rFonts w:ascii="Times New Roman" w:eastAsia="Times New Roman" w:hAnsi="Times New Roman" w:cs="Times New Roman"/>
          <w:sz w:val="28"/>
          <w:szCs w:val="28"/>
        </w:rPr>
        <w:t xml:space="preserve"> xử lý rủi ro, kể cả số tiền thu hồi được từ việc xử lý tài sản bảo đảm, được coi là doanh t</w:t>
      </w:r>
      <w:bookmarkStart w:id="18" w:name="bookmark=id.1pxezwc" w:colFirst="0" w:colLast="0"/>
      <w:bookmarkEnd w:id="18"/>
      <w:r w:rsidRPr="00CC0061">
        <w:rPr>
          <w:rFonts w:ascii="Times New Roman" w:eastAsia="Times New Roman" w:hAnsi="Times New Roman" w:cs="Times New Roman"/>
          <w:sz w:val="28"/>
          <w:szCs w:val="28"/>
        </w:rPr>
        <w:t>hu trong kỳ kế toán của tổ chức tín dụng, chi nhánh ngân hàng nước ngoài.</w:t>
      </w:r>
    </w:p>
    <w:p w14:paraId="4EF77345" w14:textId="77777777" w:rsidR="00133F17" w:rsidRPr="00CC0061" w:rsidRDefault="008842DA" w:rsidP="0050130D">
      <w:pPr>
        <w:widowControl/>
        <w:spacing w:before="120" w:after="120" w:line="252" w:lineRule="auto"/>
        <w:ind w:left="-2" w:firstLineChars="203" w:firstLine="571"/>
        <w:jc w:val="center"/>
        <w:rPr>
          <w:rFonts w:ascii="Times New Roman" w:eastAsia="Times New Roman" w:hAnsi="Times New Roman" w:cs="Times New Roman"/>
          <w:sz w:val="28"/>
          <w:szCs w:val="28"/>
        </w:rPr>
      </w:pPr>
      <w:r w:rsidRPr="00CC0061">
        <w:rPr>
          <w:rFonts w:ascii="Times New Roman" w:eastAsia="Times New Roman" w:hAnsi="Times New Roman" w:cs="Times New Roman"/>
          <w:b/>
          <w:sz w:val="28"/>
          <w:szCs w:val="28"/>
        </w:rPr>
        <w:t>Mục 4</w:t>
      </w:r>
    </w:p>
    <w:p w14:paraId="060E09BE" w14:textId="77777777" w:rsidR="00133F17" w:rsidRPr="00CC0061" w:rsidRDefault="008842DA" w:rsidP="0050130D">
      <w:pPr>
        <w:widowControl/>
        <w:spacing w:before="120" w:after="120" w:line="252" w:lineRule="auto"/>
        <w:ind w:left="-2" w:firstLineChars="0" w:firstLine="2"/>
        <w:jc w:val="center"/>
        <w:rPr>
          <w:rFonts w:ascii="Times New Roman" w:eastAsia="Times New Roman" w:hAnsi="Times New Roman" w:cs="Times New Roman"/>
          <w:sz w:val="28"/>
          <w:szCs w:val="28"/>
        </w:rPr>
      </w:pPr>
      <w:r w:rsidRPr="00CC0061">
        <w:rPr>
          <w:rFonts w:ascii="Times New Roman" w:eastAsia="Times New Roman" w:hAnsi="Times New Roman" w:cs="Times New Roman"/>
          <w:b/>
          <w:sz w:val="28"/>
          <w:szCs w:val="28"/>
        </w:rPr>
        <w:t>QUẢN LÝ NỢ, CAM KẾT NGOẠI BẢNG, TRÍCH LẬP VÀ SỬ DỤNG DỰ PHÒNG RỦI RO</w:t>
      </w:r>
      <w:bookmarkStart w:id="19" w:name="bookmark=id.49x2ik5" w:colFirst="0" w:colLast="0"/>
      <w:bookmarkEnd w:id="19"/>
    </w:p>
    <w:p w14:paraId="6398722C" w14:textId="77777777" w:rsidR="00133F17" w:rsidRPr="00CC0061" w:rsidRDefault="008842DA" w:rsidP="0050130D">
      <w:pPr>
        <w:widowControl/>
        <w:spacing w:before="120" w:after="120" w:line="252" w:lineRule="auto"/>
        <w:ind w:left="-2" w:firstLineChars="202" w:firstLine="568"/>
        <w:jc w:val="both"/>
        <w:rPr>
          <w:rFonts w:ascii="Times New Roman" w:eastAsia="Times New Roman" w:hAnsi="Times New Roman" w:cs="Times New Roman"/>
          <w:sz w:val="28"/>
          <w:szCs w:val="28"/>
        </w:rPr>
      </w:pPr>
      <w:r w:rsidRPr="00CC0061">
        <w:rPr>
          <w:rFonts w:ascii="Times New Roman" w:eastAsia="Times New Roman" w:hAnsi="Times New Roman" w:cs="Times New Roman"/>
          <w:b/>
          <w:sz w:val="28"/>
          <w:szCs w:val="28"/>
        </w:rPr>
        <w:t xml:space="preserve">Điều </w:t>
      </w:r>
      <w:r w:rsidR="004A5EBB" w:rsidRPr="00CC0061">
        <w:rPr>
          <w:rFonts w:ascii="Times New Roman" w:eastAsia="Times New Roman" w:hAnsi="Times New Roman" w:cs="Times New Roman"/>
          <w:b/>
          <w:sz w:val="28"/>
          <w:szCs w:val="28"/>
          <w:lang w:val="en-US"/>
        </w:rPr>
        <w:t>20</w:t>
      </w:r>
      <w:r w:rsidRPr="00CC0061">
        <w:rPr>
          <w:rFonts w:ascii="Times New Roman" w:eastAsia="Times New Roman" w:hAnsi="Times New Roman" w:cs="Times New Roman"/>
          <w:b/>
          <w:sz w:val="28"/>
          <w:szCs w:val="28"/>
        </w:rPr>
        <w:t>. Quản lý nợ, cam kết ngoại bảng, trích lập và sử dụng dự phòng rủi ro</w:t>
      </w:r>
    </w:p>
    <w:p w14:paraId="6A60EC01" w14:textId="77777777" w:rsidR="00133F17" w:rsidRPr="00CC0061" w:rsidRDefault="008842DA" w:rsidP="0050130D">
      <w:pPr>
        <w:widowControl/>
        <w:spacing w:before="120" w:after="120" w:line="252"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1. Tổ chức tín dụng, chi nhánh ngân hàng nước ngoài phải có bộ phận quản lý nợ, cam kết ngoại bảng (phòng, ban hoặc tương đương) tại trụ sở chính của tổ chức tín dụng, trụ sở chi nhánh ngân hàng nước ngoài để quản lý việc thực hiện việc phân loại nợ, cam kết ngoại bảng, trích lập và sử dụng dự phòng rủi ro trong toàn hệ thống.</w:t>
      </w:r>
    </w:p>
    <w:p w14:paraId="234AE364" w14:textId="77777777" w:rsidR="00133F17" w:rsidRPr="00CC0061" w:rsidRDefault="008842DA" w:rsidP="0050130D">
      <w:pPr>
        <w:widowControl/>
        <w:spacing w:before="120" w:after="120" w:line="252"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2. Trách nhiệm của bộ phận quản lý nợ, cam kết ngoại bảng:</w:t>
      </w:r>
    </w:p>
    <w:p w14:paraId="0B0244EE" w14:textId="77777777" w:rsidR="00133F17" w:rsidRPr="00CC0061" w:rsidRDefault="008842DA" w:rsidP="0050130D">
      <w:pPr>
        <w:widowControl/>
        <w:spacing w:before="120" w:after="120" w:line="252"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a) Xây dựng, trình Tổng giám đốc (Giám đốc) để trình Hội đồng quản trị, Hội đồng thành viên (đối với tổ chức tín dụng) hoặc trình Tổng giám đốc (Giám đốc) (đối với chi nhánh ngân hàng nước ngoài) ban hành:</w:t>
      </w:r>
    </w:p>
    <w:p w14:paraId="711B0A84" w14:textId="77777777" w:rsidR="00133F17" w:rsidRPr="00CC0061" w:rsidRDefault="008842DA" w:rsidP="0050130D">
      <w:pPr>
        <w:widowControl/>
        <w:spacing w:before="120" w:after="120" w:line="252"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(i) Hệ thống xếp hạng tín dụng nội bộ, bổ sung, sửa đổi hệ thống xếp hạng tín dụng nội bộ; các quy định về quản lý, vận hành hệ thống xếp hạng tín dụng nội bộ, việc thu thập, bổ sung số liệu, thông tin khách hàng;</w:t>
      </w:r>
    </w:p>
    <w:p w14:paraId="356F62AA" w14:textId="77777777" w:rsidR="00133F17" w:rsidRPr="00CC0061" w:rsidRDefault="008842DA" w:rsidP="0050130D">
      <w:pPr>
        <w:widowControl/>
        <w:spacing w:before="120" w:after="120" w:line="252"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(ii) Chính sách dự phòng rủi ro, sửa đổi, bổ sung chính sách dự phòng rủi ro.</w:t>
      </w:r>
    </w:p>
    <w:p w14:paraId="0D28DF37" w14:textId="77777777" w:rsidR="00133F17" w:rsidRPr="00CC0061" w:rsidRDefault="008842DA" w:rsidP="0050130D">
      <w:pPr>
        <w:widowControl/>
        <w:spacing w:before="120" w:after="120" w:line="252"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b) Quản lý, vận hành hệ thống xếp hạng tín dụng nội bộ;</w:t>
      </w:r>
    </w:p>
    <w:p w14:paraId="7407F115" w14:textId="77777777" w:rsidR="00133F17" w:rsidRPr="00CC0061" w:rsidRDefault="008842DA" w:rsidP="00051E8F">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lastRenderedPageBreak/>
        <w:t>c) Tổng hợp, báo cáo Hội đồng xử lý rủi ro kết quả phân loại nợ, cam kết ngoại bảng, trích lập</w:t>
      </w:r>
      <w:r w:rsidR="005449B2">
        <w:rPr>
          <w:rFonts w:ascii="Times New Roman" w:eastAsia="Times New Roman" w:hAnsi="Times New Roman" w:cs="Times New Roman"/>
          <w:sz w:val="28"/>
          <w:szCs w:val="28"/>
          <w:lang w:val="en-US"/>
        </w:rPr>
        <w:t>,</w:t>
      </w:r>
      <w:r w:rsidR="005449B2">
        <w:rPr>
          <w:rFonts w:ascii="Times New Roman" w:eastAsia="Times New Roman" w:hAnsi="Times New Roman" w:cs="Times New Roman"/>
          <w:sz w:val="28"/>
          <w:szCs w:val="28"/>
        </w:rPr>
        <w:t xml:space="preserve"> </w:t>
      </w:r>
      <w:r w:rsidRPr="00CC0061">
        <w:rPr>
          <w:rFonts w:ascii="Times New Roman" w:eastAsia="Times New Roman" w:hAnsi="Times New Roman" w:cs="Times New Roman"/>
          <w:sz w:val="28"/>
          <w:szCs w:val="28"/>
        </w:rPr>
        <w:t>sử dụng dự phòng để xử lý rủi ro</w:t>
      </w:r>
      <w:r w:rsidR="005449B2">
        <w:rPr>
          <w:rFonts w:ascii="Times New Roman" w:eastAsia="Times New Roman" w:hAnsi="Times New Roman" w:cs="Times New Roman"/>
          <w:sz w:val="28"/>
          <w:szCs w:val="28"/>
          <w:lang w:val="en-US"/>
        </w:rPr>
        <w:t xml:space="preserve"> và</w:t>
      </w:r>
      <w:r w:rsidRPr="00CC0061">
        <w:rPr>
          <w:rFonts w:ascii="Times New Roman" w:eastAsia="Times New Roman" w:hAnsi="Times New Roman" w:cs="Times New Roman"/>
          <w:sz w:val="28"/>
          <w:szCs w:val="28"/>
        </w:rPr>
        <w:t xml:space="preserve"> việc thu hồi nợ sau khi đã sử dụng dự phòng để xử lý rủi ro của tháng trước trong toàn hệ thống; đề xuất Hội đồng xử lý rủi ro việc phân loại nợ, cam kết ngoại bảng, trích lập và sử dụng dự phòng để xử lý rủi ro, các biện pháp quản lý nợ xấu, thu hồi nợ triệt để;</w:t>
      </w:r>
    </w:p>
    <w:p w14:paraId="6FB8A3FE" w14:textId="77777777" w:rsidR="00133F17" w:rsidRPr="00CC0061" w:rsidRDefault="008842DA" w:rsidP="00051E8F">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d) Quản lý, theo dõi các đơn vị, cá nhân trong việc thực hiện quy định tại điểm đ khoản 3 Điều 6 Thông tư này;</w:t>
      </w:r>
    </w:p>
    <w:p w14:paraId="197840BC" w14:textId="77777777" w:rsidR="00133F17" w:rsidRPr="00CC0061" w:rsidRDefault="008842DA" w:rsidP="00051E8F">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xml:space="preserve">đ) Cung cấp thông tin, phối hợp với các đơn vị chức năng tại trụ sở chính trong việc xây dựng trình Tổng giám đốc (Giám đốc) để trình Hội đồng quản trị, Hội đồng thành viên (đối với tổ chức tín dụng) hoặc trình Tổng giám đốc (Giám đốc) (đối với chi nhánh ngân hàng nước ngoài) ban hành hoặc sửa đổi, bổ sung quy định nội bộ về cấp tín dụng, </w:t>
      </w:r>
      <w:r w:rsidR="00F13541" w:rsidRPr="00CC0061">
        <w:rPr>
          <w:rFonts w:ascii="Times New Roman" w:eastAsia="Times New Roman" w:hAnsi="Times New Roman" w:cs="Times New Roman"/>
          <w:sz w:val="28"/>
          <w:szCs w:val="28"/>
        </w:rPr>
        <w:t>quản lý nợ</w:t>
      </w:r>
      <w:r w:rsidRPr="00CC0061">
        <w:rPr>
          <w:rFonts w:ascii="Times New Roman" w:eastAsia="Times New Roman" w:hAnsi="Times New Roman" w:cs="Times New Roman"/>
          <w:sz w:val="28"/>
          <w:szCs w:val="28"/>
        </w:rPr>
        <w:t xml:space="preserve"> của tổ chức tín dụng, chi nhánh ngân hàng nước ngoài;</w:t>
      </w:r>
    </w:p>
    <w:p w14:paraId="355830B5" w14:textId="77777777" w:rsidR="00133F17" w:rsidRPr="00CC0061" w:rsidRDefault="008842DA" w:rsidP="00051E8F">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e) Thực hiện nhiệm vụ khác theo quy định của tổ chức tín dụng</w:t>
      </w:r>
      <w:bookmarkStart w:id="20" w:name="bookmark=id.2p2csry" w:colFirst="0" w:colLast="0"/>
      <w:bookmarkEnd w:id="20"/>
      <w:r w:rsidRPr="00CC0061">
        <w:rPr>
          <w:rFonts w:ascii="Times New Roman" w:eastAsia="Times New Roman" w:hAnsi="Times New Roman" w:cs="Times New Roman"/>
          <w:sz w:val="28"/>
          <w:szCs w:val="28"/>
        </w:rPr>
        <w:t>, chi nhánh ngân hàng nước ngoài.</w:t>
      </w:r>
    </w:p>
    <w:p w14:paraId="13516360" w14:textId="77777777" w:rsidR="00133F17" w:rsidRPr="00CC0061" w:rsidRDefault="008842DA" w:rsidP="00051E8F">
      <w:pPr>
        <w:widowControl/>
        <w:spacing w:before="120" w:after="120" w:line="240" w:lineRule="auto"/>
        <w:ind w:left="-2" w:firstLineChars="0" w:firstLine="2"/>
        <w:jc w:val="center"/>
        <w:rPr>
          <w:rFonts w:ascii="Times New Roman" w:eastAsia="Times New Roman" w:hAnsi="Times New Roman" w:cs="Times New Roman"/>
          <w:sz w:val="28"/>
          <w:szCs w:val="28"/>
        </w:rPr>
      </w:pPr>
      <w:r w:rsidRPr="00CC0061">
        <w:rPr>
          <w:rFonts w:ascii="Times New Roman" w:eastAsia="Times New Roman" w:hAnsi="Times New Roman" w:cs="Times New Roman"/>
          <w:b/>
          <w:sz w:val="28"/>
          <w:szCs w:val="28"/>
        </w:rPr>
        <w:t>Mục 5</w:t>
      </w:r>
    </w:p>
    <w:p w14:paraId="345E28A0" w14:textId="77777777" w:rsidR="00133F17" w:rsidRPr="00CC0061" w:rsidRDefault="008842DA" w:rsidP="00051E8F">
      <w:pPr>
        <w:widowControl/>
        <w:spacing w:before="120" w:after="120" w:line="240" w:lineRule="auto"/>
        <w:ind w:left="-2" w:firstLineChars="0" w:firstLine="2"/>
        <w:jc w:val="center"/>
        <w:rPr>
          <w:rFonts w:ascii="Times New Roman" w:eastAsia="Times New Roman" w:hAnsi="Times New Roman" w:cs="Times New Roman"/>
          <w:sz w:val="28"/>
          <w:szCs w:val="28"/>
        </w:rPr>
      </w:pPr>
      <w:r w:rsidRPr="00CC0061">
        <w:rPr>
          <w:rFonts w:ascii="Times New Roman" w:eastAsia="Times New Roman" w:hAnsi="Times New Roman" w:cs="Times New Roman"/>
          <w:b/>
          <w:sz w:val="28"/>
          <w:szCs w:val="28"/>
        </w:rPr>
        <w:t>HẠCH TOÁN, BÁO CÁO</w:t>
      </w:r>
      <w:bookmarkStart w:id="21" w:name="bookmark=id.147n2zr" w:colFirst="0" w:colLast="0"/>
      <w:bookmarkEnd w:id="21"/>
    </w:p>
    <w:p w14:paraId="1B49584C" w14:textId="77777777" w:rsidR="00133F17" w:rsidRPr="00CC0061" w:rsidRDefault="008842DA" w:rsidP="00051E8F">
      <w:pPr>
        <w:widowControl/>
        <w:spacing w:before="120" w:after="120" w:line="240" w:lineRule="auto"/>
        <w:ind w:left="-2" w:firstLineChars="202" w:firstLine="568"/>
        <w:jc w:val="both"/>
        <w:rPr>
          <w:rFonts w:ascii="Times New Roman" w:eastAsia="Times New Roman" w:hAnsi="Times New Roman" w:cs="Times New Roman"/>
          <w:sz w:val="28"/>
          <w:szCs w:val="28"/>
        </w:rPr>
      </w:pPr>
      <w:r w:rsidRPr="00CC0061">
        <w:rPr>
          <w:rFonts w:ascii="Times New Roman" w:eastAsia="Times New Roman" w:hAnsi="Times New Roman" w:cs="Times New Roman"/>
          <w:b/>
          <w:sz w:val="28"/>
          <w:szCs w:val="28"/>
        </w:rPr>
        <w:t>Điều 2</w:t>
      </w:r>
      <w:r w:rsidR="004A5EBB" w:rsidRPr="00CC0061">
        <w:rPr>
          <w:rFonts w:ascii="Times New Roman" w:eastAsia="Times New Roman" w:hAnsi="Times New Roman" w:cs="Times New Roman"/>
          <w:b/>
          <w:sz w:val="28"/>
          <w:szCs w:val="28"/>
          <w:lang w:val="en-US"/>
        </w:rPr>
        <w:t>1</w:t>
      </w:r>
      <w:r w:rsidRPr="00CC0061">
        <w:rPr>
          <w:rFonts w:ascii="Times New Roman" w:eastAsia="Times New Roman" w:hAnsi="Times New Roman" w:cs="Times New Roman"/>
          <w:b/>
          <w:sz w:val="28"/>
          <w:szCs w:val="28"/>
        </w:rPr>
        <w:t>. Hạch toán</w:t>
      </w:r>
    </w:p>
    <w:p w14:paraId="67CD0ABD" w14:textId="77777777" w:rsidR="00133F17" w:rsidRPr="00CC0061" w:rsidRDefault="008842DA" w:rsidP="00051E8F">
      <w:pPr>
        <w:widowControl/>
        <w:spacing w:before="120" w:after="120" w:line="240" w:lineRule="auto"/>
        <w:ind w:left="-2" w:firstLineChars="202" w:firstLine="566"/>
        <w:jc w:val="both"/>
        <w:rPr>
          <w:rFonts w:ascii="Times New Roman" w:eastAsia="Times New Roman" w:hAnsi="Times New Roman" w:cs="Times New Roman"/>
          <w:sz w:val="28"/>
          <w:szCs w:val="28"/>
        </w:rPr>
      </w:pPr>
      <w:bookmarkStart w:id="22" w:name="bookmark=id.3o7alnk" w:colFirst="0" w:colLast="0"/>
      <w:bookmarkEnd w:id="22"/>
      <w:r w:rsidRPr="00CC0061">
        <w:rPr>
          <w:rFonts w:ascii="Times New Roman" w:eastAsia="Times New Roman" w:hAnsi="Times New Roman" w:cs="Times New Roman"/>
          <w:sz w:val="28"/>
          <w:szCs w:val="28"/>
        </w:rPr>
        <w:t>Tổ chức tín dụng, chi nhánh ngân hàng nước ngoài thực hiện hạch toán số tiền trích lập, sử dụng, bổ sung, hoàn nhập dự phòng cụ thể và dự phòng chung theo các quy định của pháp luật về chế độ hạch toán kế toán của tổ chức tín dụng, chi nhánh ngân hàng nước ngoài.</w:t>
      </w:r>
    </w:p>
    <w:p w14:paraId="4021D82A" w14:textId="77777777" w:rsidR="00133F17" w:rsidRPr="00CC0061" w:rsidRDefault="008842DA" w:rsidP="00051E8F">
      <w:pPr>
        <w:widowControl/>
        <w:spacing w:before="120" w:after="120" w:line="240" w:lineRule="auto"/>
        <w:ind w:left="-2" w:firstLineChars="202" w:firstLine="568"/>
        <w:jc w:val="both"/>
        <w:rPr>
          <w:rFonts w:ascii="Times New Roman" w:eastAsia="Times New Roman" w:hAnsi="Times New Roman" w:cs="Times New Roman"/>
          <w:sz w:val="28"/>
          <w:szCs w:val="28"/>
        </w:rPr>
      </w:pPr>
      <w:r w:rsidRPr="00CC0061">
        <w:rPr>
          <w:rFonts w:ascii="Times New Roman" w:eastAsia="Times New Roman" w:hAnsi="Times New Roman" w:cs="Times New Roman"/>
          <w:b/>
          <w:sz w:val="28"/>
          <w:szCs w:val="28"/>
        </w:rPr>
        <w:t>Điều 2</w:t>
      </w:r>
      <w:r w:rsidR="004A5EBB" w:rsidRPr="00CC0061">
        <w:rPr>
          <w:rFonts w:ascii="Times New Roman" w:eastAsia="Times New Roman" w:hAnsi="Times New Roman" w:cs="Times New Roman"/>
          <w:b/>
          <w:sz w:val="28"/>
          <w:szCs w:val="28"/>
          <w:lang w:val="en-US"/>
        </w:rPr>
        <w:t>2</w:t>
      </w:r>
      <w:r w:rsidRPr="00CC0061">
        <w:rPr>
          <w:rFonts w:ascii="Times New Roman" w:eastAsia="Times New Roman" w:hAnsi="Times New Roman" w:cs="Times New Roman"/>
          <w:b/>
          <w:sz w:val="28"/>
          <w:szCs w:val="28"/>
        </w:rPr>
        <w:t>. Báo cáo</w:t>
      </w:r>
    </w:p>
    <w:p w14:paraId="6D6EA57D" w14:textId="77777777" w:rsidR="00133F17" w:rsidRPr="00CC0061" w:rsidRDefault="008842DA" w:rsidP="00051E8F">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xml:space="preserve">1. Tổ chức tín dụng, chi nhánh ngân hàng nước ngoài phải báo cáo kết quả phân loại nợ, cam </w:t>
      </w:r>
      <w:r w:rsidR="00742214">
        <w:rPr>
          <w:rFonts w:ascii="Times New Roman" w:eastAsia="Times New Roman" w:hAnsi="Times New Roman" w:cs="Times New Roman"/>
          <w:sz w:val="28"/>
          <w:szCs w:val="28"/>
        </w:rPr>
        <w:t>kết ngoại bảng, trích lập,</w:t>
      </w:r>
      <w:r w:rsidRPr="00CC0061">
        <w:rPr>
          <w:rFonts w:ascii="Times New Roman" w:eastAsia="Times New Roman" w:hAnsi="Times New Roman" w:cs="Times New Roman"/>
          <w:sz w:val="28"/>
          <w:szCs w:val="28"/>
        </w:rPr>
        <w:t xml:space="preserve"> sử dụng dự phòng rủi ro</w:t>
      </w:r>
      <w:r w:rsidR="00742214">
        <w:rPr>
          <w:rFonts w:ascii="Times New Roman" w:eastAsia="Times New Roman" w:hAnsi="Times New Roman" w:cs="Times New Roman"/>
          <w:sz w:val="28"/>
          <w:szCs w:val="28"/>
          <w:lang w:val="en-US"/>
        </w:rPr>
        <w:t xml:space="preserve"> và </w:t>
      </w:r>
      <w:r w:rsidR="005449B2">
        <w:rPr>
          <w:rFonts w:ascii="Times New Roman" w:eastAsia="Times New Roman" w:hAnsi="Times New Roman" w:cs="Times New Roman"/>
          <w:sz w:val="28"/>
          <w:szCs w:val="28"/>
          <w:lang w:val="en-US"/>
        </w:rPr>
        <w:t>xử lý tổn thất</w:t>
      </w:r>
      <w:r w:rsidR="008B65B5">
        <w:rPr>
          <w:rFonts w:ascii="Times New Roman" w:eastAsia="Times New Roman" w:hAnsi="Times New Roman" w:cs="Times New Roman"/>
          <w:sz w:val="28"/>
          <w:szCs w:val="28"/>
        </w:rPr>
        <w:t xml:space="preserve"> theo quy định về </w:t>
      </w:r>
      <w:r w:rsidR="008B65B5">
        <w:rPr>
          <w:rFonts w:ascii="Times New Roman" w:eastAsia="Times New Roman" w:hAnsi="Times New Roman" w:cs="Times New Roman"/>
          <w:sz w:val="28"/>
          <w:szCs w:val="28"/>
          <w:lang w:val="en-US"/>
        </w:rPr>
        <w:t>c</w:t>
      </w:r>
      <w:r w:rsidRPr="00CC0061">
        <w:rPr>
          <w:rFonts w:ascii="Times New Roman" w:eastAsia="Times New Roman" w:hAnsi="Times New Roman" w:cs="Times New Roman"/>
          <w:sz w:val="28"/>
          <w:szCs w:val="28"/>
        </w:rPr>
        <w:t>hế độ báo cáo thống kê áp dụng đối với các tổ chức tín dụng, chi nhánh ngân hàng nước ngoài do Ngân hàng Nhà nước ban hành.</w:t>
      </w:r>
    </w:p>
    <w:p w14:paraId="48CF8B45" w14:textId="77777777" w:rsidR="00133F17" w:rsidRPr="00CC0061" w:rsidRDefault="008842DA" w:rsidP="00051E8F">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2. Tổ chức tín dụng, chi nhánh ngân hàng nước ngoài có trách nhiệm cung cấp cho CIC những thông tin theo quy định về hoạt động thông tin tín dụng của Ngân hàng Nhà nước và theo quy định tại Thông tư này.</w:t>
      </w:r>
    </w:p>
    <w:p w14:paraId="5D1EAE68" w14:textId="77777777" w:rsidR="00133F17" w:rsidRPr="00CC0061" w:rsidRDefault="008842DA" w:rsidP="00051E8F">
      <w:pPr>
        <w:widowControl/>
        <w:spacing w:before="120" w:after="120" w:line="240" w:lineRule="auto"/>
        <w:ind w:left="-2" w:firstLineChars="202" w:firstLine="566"/>
        <w:jc w:val="both"/>
        <w:rPr>
          <w:rFonts w:ascii="Times New Roman" w:eastAsia="Times New Roman" w:hAnsi="Times New Roman" w:cs="Times New Roman"/>
          <w:sz w:val="28"/>
          <w:szCs w:val="28"/>
          <w:lang w:val="en-US"/>
        </w:rPr>
      </w:pPr>
      <w:r w:rsidRPr="00CC0061">
        <w:rPr>
          <w:rFonts w:ascii="Times New Roman" w:eastAsia="Times New Roman" w:hAnsi="Times New Roman" w:cs="Times New Roman"/>
          <w:sz w:val="28"/>
          <w:szCs w:val="28"/>
        </w:rPr>
        <w:t>3. Tổ chức tín dụng, chi nhánh ngân hàng nước ngoài phải báo cáo kết quả phân loại nợ, cam kết ngoại bảng, trích lập và sử dụng dự phòng rủi ro, kết quả thu hồi nợ cho Tổng Cục thuế và Cục thuế tỉnh, thành phố nơi tổ chức tín dụng, chi nhánh ngâ</w:t>
      </w:r>
      <w:bookmarkStart w:id="23" w:name="bookmark=id.23ckvvd" w:colFirst="0" w:colLast="0"/>
      <w:bookmarkEnd w:id="23"/>
      <w:r w:rsidRPr="00CC0061">
        <w:rPr>
          <w:rFonts w:ascii="Times New Roman" w:eastAsia="Times New Roman" w:hAnsi="Times New Roman" w:cs="Times New Roman"/>
          <w:sz w:val="28"/>
          <w:szCs w:val="28"/>
        </w:rPr>
        <w:t>n hàng nước ngoài đặt trụ sở chính theo quy định về báo cáo thuế.</w:t>
      </w:r>
    </w:p>
    <w:p w14:paraId="7D15AB89" w14:textId="77777777" w:rsidR="000114F7" w:rsidRDefault="00C0363C" w:rsidP="00051E8F">
      <w:pPr>
        <w:widowControl/>
        <w:spacing w:before="120" w:after="120" w:line="240" w:lineRule="auto"/>
        <w:ind w:left="-2" w:firstLineChars="202" w:firstLine="566"/>
        <w:jc w:val="both"/>
        <w:rPr>
          <w:rFonts w:ascii="Times New Roman" w:eastAsia="Times New Roman" w:hAnsi="Times New Roman" w:cs="Times New Roman"/>
          <w:b/>
          <w:sz w:val="28"/>
          <w:szCs w:val="28"/>
          <w:lang w:val="en-US"/>
        </w:rPr>
      </w:pPr>
      <w:r w:rsidRPr="000455E5">
        <w:rPr>
          <w:rFonts w:ascii="Times New Roman" w:eastAsia="Times New Roman" w:hAnsi="Times New Roman" w:cs="Times New Roman"/>
          <w:sz w:val="28"/>
          <w:szCs w:val="28"/>
          <w:lang w:val="en-US"/>
        </w:rPr>
        <w:t xml:space="preserve">4. </w:t>
      </w:r>
      <w:r w:rsidR="00CC0061" w:rsidRPr="000455E5">
        <w:rPr>
          <w:rFonts w:ascii="Times New Roman" w:eastAsia="Times New Roman" w:hAnsi="Times New Roman" w:cs="Times New Roman"/>
          <w:sz w:val="28"/>
          <w:szCs w:val="28"/>
          <w:lang w:val="en-US"/>
        </w:rPr>
        <w:t xml:space="preserve">Hằng năm, tổ chức tín dụng, chi nhánh ngân hàng nước ngoài phải báo cáo Đại hội đồng cổ đông (đối với tổ chức tín dụng </w:t>
      </w:r>
      <w:r w:rsidR="00B7702B" w:rsidRPr="000455E5">
        <w:rPr>
          <w:rFonts w:ascii="Times New Roman" w:eastAsia="Times New Roman" w:hAnsi="Times New Roman" w:cs="Times New Roman"/>
          <w:sz w:val="28"/>
          <w:szCs w:val="28"/>
          <w:lang w:val="en-US"/>
        </w:rPr>
        <w:t xml:space="preserve">là công ty </w:t>
      </w:r>
      <w:r w:rsidR="00A97C24">
        <w:rPr>
          <w:rFonts w:ascii="Times New Roman" w:eastAsia="Times New Roman" w:hAnsi="Times New Roman" w:cs="Times New Roman"/>
          <w:sz w:val="28"/>
          <w:szCs w:val="28"/>
          <w:lang w:val="en-US"/>
        </w:rPr>
        <w:t>cổ phần), chủ sở hữu</w:t>
      </w:r>
      <w:r w:rsidR="00CC0061" w:rsidRPr="000455E5">
        <w:rPr>
          <w:rFonts w:ascii="Times New Roman" w:eastAsia="Times New Roman" w:hAnsi="Times New Roman" w:cs="Times New Roman"/>
          <w:sz w:val="28"/>
          <w:szCs w:val="28"/>
          <w:lang w:val="en-US"/>
        </w:rPr>
        <w:t xml:space="preserve"> (</w:t>
      </w:r>
      <w:r w:rsidR="00B7702B" w:rsidRPr="000455E5">
        <w:rPr>
          <w:rFonts w:ascii="Times New Roman" w:eastAsia="Times New Roman" w:hAnsi="Times New Roman" w:cs="Times New Roman"/>
          <w:sz w:val="28"/>
          <w:szCs w:val="28"/>
          <w:lang w:val="en-US"/>
        </w:rPr>
        <w:t xml:space="preserve">đối </w:t>
      </w:r>
      <w:r w:rsidR="00CC0061" w:rsidRPr="000455E5">
        <w:rPr>
          <w:rFonts w:ascii="Times New Roman" w:eastAsia="Times New Roman" w:hAnsi="Times New Roman" w:cs="Times New Roman"/>
          <w:sz w:val="28"/>
          <w:szCs w:val="28"/>
          <w:lang w:val="en-US"/>
        </w:rPr>
        <w:t xml:space="preserve">với tổ chức tín dụng </w:t>
      </w:r>
      <w:r w:rsidR="00B7702B" w:rsidRPr="000455E5">
        <w:rPr>
          <w:rFonts w:ascii="Times New Roman" w:eastAsia="Times New Roman" w:hAnsi="Times New Roman" w:cs="Times New Roman"/>
          <w:sz w:val="28"/>
          <w:szCs w:val="28"/>
          <w:lang w:val="en-US"/>
        </w:rPr>
        <w:t xml:space="preserve">là công ty </w:t>
      </w:r>
      <w:r w:rsidR="00CC0061" w:rsidRPr="000455E5">
        <w:rPr>
          <w:rFonts w:ascii="Times New Roman" w:eastAsia="Times New Roman" w:hAnsi="Times New Roman" w:cs="Times New Roman"/>
          <w:sz w:val="28"/>
          <w:szCs w:val="28"/>
          <w:lang w:val="en-US"/>
        </w:rPr>
        <w:t>trách nhiệm hữu hạn một thành viên), thành viên góp vốn (đối với tổ chức tín dụng</w:t>
      </w:r>
      <w:r w:rsidR="00B7702B" w:rsidRPr="000455E5">
        <w:rPr>
          <w:rFonts w:ascii="Times New Roman" w:eastAsia="Times New Roman" w:hAnsi="Times New Roman" w:cs="Times New Roman"/>
          <w:sz w:val="28"/>
          <w:szCs w:val="28"/>
          <w:lang w:val="en-US"/>
        </w:rPr>
        <w:t xml:space="preserve"> là công ty</w:t>
      </w:r>
      <w:r w:rsidR="00CC0061" w:rsidRPr="000455E5">
        <w:rPr>
          <w:rFonts w:ascii="Times New Roman" w:eastAsia="Times New Roman" w:hAnsi="Times New Roman" w:cs="Times New Roman"/>
          <w:sz w:val="28"/>
          <w:szCs w:val="28"/>
          <w:lang w:val="en-US"/>
        </w:rPr>
        <w:t xml:space="preserve"> trách nhiệm hữu hạn hai thành viên trở lên) về kết quả phân loại nợ, cam kết ngoại bảng, trích lập dự phòng rủi ro, kết quả sử dụng dự phòng rủi ro và kết quả xử lý tổn thất.</w:t>
      </w:r>
    </w:p>
    <w:p w14:paraId="4362AC38" w14:textId="77777777" w:rsidR="00133F17" w:rsidRPr="00CC0061" w:rsidRDefault="008842DA" w:rsidP="005449B2">
      <w:pPr>
        <w:widowControl/>
        <w:spacing w:before="120" w:after="120" w:line="240" w:lineRule="auto"/>
        <w:ind w:left="-2" w:firstLineChars="0" w:firstLine="2"/>
        <w:jc w:val="center"/>
        <w:rPr>
          <w:rFonts w:ascii="Times New Roman" w:eastAsia="Times New Roman" w:hAnsi="Times New Roman" w:cs="Times New Roman"/>
          <w:sz w:val="28"/>
          <w:szCs w:val="28"/>
        </w:rPr>
      </w:pPr>
      <w:r w:rsidRPr="00CC0061">
        <w:rPr>
          <w:rFonts w:ascii="Times New Roman" w:eastAsia="Times New Roman" w:hAnsi="Times New Roman" w:cs="Times New Roman"/>
          <w:b/>
          <w:sz w:val="28"/>
          <w:szCs w:val="28"/>
        </w:rPr>
        <w:lastRenderedPageBreak/>
        <w:t>Chương III</w:t>
      </w:r>
      <w:bookmarkStart w:id="24" w:name="bookmark=id.ihv636" w:colFirst="0" w:colLast="0"/>
      <w:bookmarkEnd w:id="24"/>
    </w:p>
    <w:p w14:paraId="3B75A727" w14:textId="77777777" w:rsidR="00133F17" w:rsidRPr="00CC0061" w:rsidRDefault="008842DA" w:rsidP="005449B2">
      <w:pPr>
        <w:widowControl/>
        <w:spacing w:before="120" w:after="120" w:line="240" w:lineRule="auto"/>
        <w:ind w:left="-2" w:firstLineChars="0" w:firstLine="2"/>
        <w:jc w:val="center"/>
        <w:rPr>
          <w:rFonts w:ascii="Times New Roman" w:eastAsia="Times New Roman" w:hAnsi="Times New Roman" w:cs="Times New Roman"/>
          <w:sz w:val="28"/>
          <w:szCs w:val="28"/>
        </w:rPr>
      </w:pPr>
      <w:r w:rsidRPr="00CC0061">
        <w:rPr>
          <w:rFonts w:ascii="Times New Roman" w:eastAsia="Times New Roman" w:hAnsi="Times New Roman" w:cs="Times New Roman"/>
          <w:b/>
          <w:sz w:val="28"/>
          <w:szCs w:val="28"/>
        </w:rPr>
        <w:t>TRÁCH NHIỆM CỦA NGÂN HÀNG NHÀ NƯỚC VÀ XỬ LÝ VI PHẠM</w:t>
      </w:r>
      <w:bookmarkStart w:id="25" w:name="bookmark=id.32hioqz" w:colFirst="0" w:colLast="0"/>
      <w:bookmarkEnd w:id="25"/>
    </w:p>
    <w:p w14:paraId="2B9A4F99" w14:textId="77777777" w:rsidR="00133F17" w:rsidRPr="00CC0061" w:rsidRDefault="008842DA" w:rsidP="00DF2532">
      <w:pPr>
        <w:widowControl/>
        <w:spacing w:before="120" w:after="120" w:line="240" w:lineRule="auto"/>
        <w:ind w:left="-2" w:firstLineChars="202" w:firstLine="568"/>
        <w:jc w:val="both"/>
        <w:rPr>
          <w:rFonts w:ascii="Times New Roman" w:eastAsia="Times New Roman" w:hAnsi="Times New Roman" w:cs="Times New Roman"/>
          <w:sz w:val="28"/>
          <w:szCs w:val="28"/>
        </w:rPr>
      </w:pPr>
      <w:r w:rsidRPr="00CC0061">
        <w:rPr>
          <w:rFonts w:ascii="Times New Roman" w:eastAsia="Times New Roman" w:hAnsi="Times New Roman" w:cs="Times New Roman"/>
          <w:b/>
          <w:sz w:val="28"/>
          <w:szCs w:val="28"/>
        </w:rPr>
        <w:t>Điều 2</w:t>
      </w:r>
      <w:r w:rsidR="004A5EBB" w:rsidRPr="00CC0061">
        <w:rPr>
          <w:rFonts w:ascii="Times New Roman" w:eastAsia="Times New Roman" w:hAnsi="Times New Roman" w:cs="Times New Roman"/>
          <w:b/>
          <w:sz w:val="28"/>
          <w:szCs w:val="28"/>
          <w:lang w:val="en-US"/>
        </w:rPr>
        <w:t>3</w:t>
      </w:r>
      <w:r w:rsidRPr="00CC0061">
        <w:rPr>
          <w:rFonts w:ascii="Times New Roman" w:eastAsia="Times New Roman" w:hAnsi="Times New Roman" w:cs="Times New Roman"/>
          <w:b/>
          <w:sz w:val="28"/>
          <w:szCs w:val="28"/>
        </w:rPr>
        <w:t>. Trách nhiệm của Ngân hàng Nhà nước</w:t>
      </w:r>
    </w:p>
    <w:p w14:paraId="59EC5E8C" w14:textId="77777777" w:rsidR="00133F17" w:rsidRPr="00CC0061" w:rsidRDefault="008842DA" w:rsidP="00051E8F">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1. Cơ quan Thanh tra, giám sát ngân hàng có trách nhiệm:</w:t>
      </w:r>
    </w:p>
    <w:p w14:paraId="5BF40304" w14:textId="77777777" w:rsidR="00133F17" w:rsidRPr="000114F7" w:rsidRDefault="008842DA" w:rsidP="00051E8F">
      <w:pPr>
        <w:widowControl/>
        <w:spacing w:before="120" w:after="120" w:line="240" w:lineRule="auto"/>
        <w:ind w:left="-2" w:firstLineChars="202" w:firstLine="566"/>
        <w:jc w:val="both"/>
        <w:rPr>
          <w:rFonts w:ascii="Times New Roman" w:eastAsia="Times New Roman" w:hAnsi="Times New Roman" w:cs="Times New Roman"/>
          <w:sz w:val="28"/>
          <w:szCs w:val="28"/>
          <w:lang w:val="en-US"/>
        </w:rPr>
      </w:pPr>
      <w:r w:rsidRPr="00CC0061">
        <w:rPr>
          <w:rFonts w:ascii="Times New Roman" w:eastAsia="Times New Roman" w:hAnsi="Times New Roman" w:cs="Times New Roman"/>
          <w:sz w:val="28"/>
          <w:szCs w:val="28"/>
        </w:rPr>
        <w:t xml:space="preserve">a) Tiếp nhận quy định nội bộ về cấp tín dụng, </w:t>
      </w:r>
      <w:r w:rsidR="00F13541" w:rsidRPr="00CC0061">
        <w:rPr>
          <w:rFonts w:ascii="Times New Roman" w:eastAsia="Times New Roman" w:hAnsi="Times New Roman" w:cs="Times New Roman"/>
          <w:sz w:val="28"/>
          <w:szCs w:val="28"/>
        </w:rPr>
        <w:t>quản lý nợ</w:t>
      </w:r>
      <w:r w:rsidRPr="00CC0061">
        <w:rPr>
          <w:rFonts w:ascii="Times New Roman" w:eastAsia="Times New Roman" w:hAnsi="Times New Roman" w:cs="Times New Roman"/>
          <w:sz w:val="28"/>
          <w:szCs w:val="28"/>
        </w:rPr>
        <w:t xml:space="preserve">, chính sách dự phòng rủi ro của tổ chức tín dụng, chi nhánh ngân hàng nước ngoài theo quy định </w:t>
      </w:r>
      <w:r w:rsidR="00EA1E80">
        <w:rPr>
          <w:rFonts w:ascii="Times New Roman" w:eastAsia="Times New Roman" w:hAnsi="Times New Roman" w:cs="Times New Roman"/>
          <w:sz w:val="28"/>
          <w:szCs w:val="28"/>
          <w:lang w:val="en-US"/>
        </w:rPr>
        <w:t xml:space="preserve">tại </w:t>
      </w:r>
      <w:r w:rsidRPr="00CC0061">
        <w:rPr>
          <w:rFonts w:ascii="Times New Roman" w:eastAsia="Times New Roman" w:hAnsi="Times New Roman" w:cs="Times New Roman"/>
          <w:sz w:val="28"/>
          <w:szCs w:val="28"/>
        </w:rPr>
        <w:t>Điều 6 Thông tư này để phục vụ cho công tác gi</w:t>
      </w:r>
      <w:r w:rsidR="000114F7">
        <w:rPr>
          <w:rFonts w:ascii="Times New Roman" w:eastAsia="Times New Roman" w:hAnsi="Times New Roman" w:cs="Times New Roman"/>
          <w:sz w:val="28"/>
          <w:szCs w:val="28"/>
        </w:rPr>
        <w:t>ám sát an toàn vi mô, thanh tra</w:t>
      </w:r>
      <w:r w:rsidR="000114F7">
        <w:rPr>
          <w:rFonts w:ascii="Times New Roman" w:eastAsia="Times New Roman" w:hAnsi="Times New Roman" w:cs="Times New Roman"/>
          <w:sz w:val="28"/>
          <w:szCs w:val="28"/>
          <w:lang w:val="en-US"/>
        </w:rPr>
        <w:t>;</w:t>
      </w:r>
    </w:p>
    <w:p w14:paraId="3B248858" w14:textId="77777777" w:rsidR="00133F17" w:rsidRPr="00CC0061" w:rsidRDefault="008842DA" w:rsidP="00051E8F">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xml:space="preserve">b) Kiểm tra, thanh tra việc tổ chức tín dụng, chi nhánh ngân hàng nước ngoài thực hiện các quy định nội bộ về cấp tín dụng, </w:t>
      </w:r>
      <w:r w:rsidR="00F13541" w:rsidRPr="00CC0061">
        <w:rPr>
          <w:rFonts w:ascii="Times New Roman" w:eastAsia="Times New Roman" w:hAnsi="Times New Roman" w:cs="Times New Roman"/>
          <w:sz w:val="28"/>
          <w:szCs w:val="28"/>
        </w:rPr>
        <w:t>quản lý nợ</w:t>
      </w:r>
      <w:r w:rsidRPr="00CC0061">
        <w:rPr>
          <w:rFonts w:ascii="Times New Roman" w:eastAsia="Times New Roman" w:hAnsi="Times New Roman" w:cs="Times New Roman"/>
          <w:sz w:val="28"/>
          <w:szCs w:val="28"/>
        </w:rPr>
        <w:t>, chính sách dự phòng rủi ro;</w:t>
      </w:r>
    </w:p>
    <w:p w14:paraId="038F7449" w14:textId="77777777" w:rsidR="00133F17" w:rsidRPr="00CC0061" w:rsidRDefault="008842DA" w:rsidP="00051E8F">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c) Kiểm tra, thanh tra việc thực hiện phân loại nợ, cam kết ngoại bảng, trích lập và sử dụng dự phòng rủi ro của tổ chức tín dụng, chi nhánh ngân hàng nước ngoài;</w:t>
      </w:r>
    </w:p>
    <w:p w14:paraId="316CBF9B" w14:textId="77777777" w:rsidR="00133F17" w:rsidRPr="00CC0061" w:rsidRDefault="008842DA" w:rsidP="00051E8F">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d) Xử lý vi phạm của tổ chức tín dụng, chi nhánh ngân hàng nước ngoài theo quy định tại Điều 2</w:t>
      </w:r>
      <w:r w:rsidR="00606079" w:rsidRPr="00CC0061">
        <w:rPr>
          <w:rFonts w:ascii="Times New Roman" w:eastAsia="Times New Roman" w:hAnsi="Times New Roman" w:cs="Times New Roman"/>
          <w:sz w:val="28"/>
          <w:szCs w:val="28"/>
          <w:lang w:val="en-US"/>
        </w:rPr>
        <w:t>4</w:t>
      </w:r>
      <w:r w:rsidRPr="00CC0061">
        <w:rPr>
          <w:rFonts w:ascii="Times New Roman" w:eastAsia="Times New Roman" w:hAnsi="Times New Roman" w:cs="Times New Roman"/>
          <w:sz w:val="28"/>
          <w:szCs w:val="28"/>
        </w:rPr>
        <w:t xml:space="preserve"> Thông tư này theo thẩm quyền;</w:t>
      </w:r>
    </w:p>
    <w:p w14:paraId="33FF61CB" w14:textId="77777777" w:rsidR="00133F17" w:rsidRPr="00CC0061" w:rsidRDefault="005F6218" w:rsidP="00051E8F">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lang w:val="en-US"/>
        </w:rPr>
        <w:t>đ</w:t>
      </w:r>
      <w:r w:rsidR="008842DA" w:rsidRPr="00CC0061">
        <w:rPr>
          <w:rFonts w:ascii="Times New Roman" w:eastAsia="Times New Roman" w:hAnsi="Times New Roman" w:cs="Times New Roman"/>
          <w:sz w:val="28"/>
          <w:szCs w:val="28"/>
        </w:rPr>
        <w:t>) Xử lý hồ sơ chấp thuận đề nghị của chi nhánh ngân hàng nước ngoài cho phép áp dụng chính sách dự phòng rủi ro của ngân hàng nước ngoài và đề nghị của tổ chức tín dụng, chi nhánh ngân hàng nước ngoài chấp</w:t>
      </w:r>
      <w:r w:rsidR="000114F7">
        <w:rPr>
          <w:rFonts w:ascii="Times New Roman" w:eastAsia="Times New Roman" w:hAnsi="Times New Roman" w:cs="Times New Roman"/>
          <w:sz w:val="28"/>
          <w:szCs w:val="28"/>
        </w:rPr>
        <w:t xml:space="preserve"> thuận thực hiện phân loại nợ</w:t>
      </w:r>
      <w:r w:rsidR="000114F7">
        <w:rPr>
          <w:rFonts w:ascii="Times New Roman" w:eastAsia="Times New Roman" w:hAnsi="Times New Roman" w:cs="Times New Roman"/>
          <w:sz w:val="28"/>
          <w:szCs w:val="28"/>
          <w:lang w:val="en-US"/>
        </w:rPr>
        <w:t>,</w:t>
      </w:r>
      <w:r w:rsidR="008842DA" w:rsidRPr="00CC0061">
        <w:rPr>
          <w:rFonts w:ascii="Times New Roman" w:eastAsia="Times New Roman" w:hAnsi="Times New Roman" w:cs="Times New Roman"/>
          <w:sz w:val="28"/>
          <w:szCs w:val="28"/>
        </w:rPr>
        <w:t xml:space="preserve"> cam kết ngoại bảng theo phương pháp định tính.</w:t>
      </w:r>
    </w:p>
    <w:p w14:paraId="67578355" w14:textId="77777777" w:rsidR="00133F17" w:rsidRPr="00CC0061" w:rsidRDefault="000114F7" w:rsidP="00051E8F">
      <w:pPr>
        <w:widowControl/>
        <w:spacing w:before="120" w:after="120" w:line="240" w:lineRule="auto"/>
        <w:ind w:left="-2" w:firstLineChars="202"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Vụ Dự báo,</w:t>
      </w:r>
      <w:r>
        <w:rPr>
          <w:rFonts w:ascii="Times New Roman" w:eastAsia="Times New Roman" w:hAnsi="Times New Roman" w:cs="Times New Roman"/>
          <w:sz w:val="28"/>
          <w:szCs w:val="28"/>
          <w:lang w:val="en-US"/>
        </w:rPr>
        <w:t xml:space="preserve"> t</w:t>
      </w:r>
      <w:r w:rsidR="008842DA" w:rsidRPr="00CC0061">
        <w:rPr>
          <w:rFonts w:ascii="Times New Roman" w:eastAsia="Times New Roman" w:hAnsi="Times New Roman" w:cs="Times New Roman"/>
          <w:sz w:val="28"/>
          <w:szCs w:val="28"/>
        </w:rPr>
        <w:t xml:space="preserve">hống kê đầu mối, phối hợp với các đơn vị có liên quan trình Thống đốc Ngân hàng Nhà nước ban hành quy định về chế độ báo cáo thống kê việc phân loại nợ, </w:t>
      </w:r>
      <w:r w:rsidR="00742214">
        <w:rPr>
          <w:rFonts w:ascii="Times New Roman" w:eastAsia="Times New Roman" w:hAnsi="Times New Roman" w:cs="Times New Roman"/>
          <w:sz w:val="28"/>
          <w:szCs w:val="28"/>
        </w:rPr>
        <w:t>cam kết ngoại bảng, trích lập,</w:t>
      </w:r>
      <w:r w:rsidR="008842DA" w:rsidRPr="00CC0061">
        <w:rPr>
          <w:rFonts w:ascii="Times New Roman" w:eastAsia="Times New Roman" w:hAnsi="Times New Roman" w:cs="Times New Roman"/>
          <w:sz w:val="28"/>
          <w:szCs w:val="28"/>
        </w:rPr>
        <w:t xml:space="preserve"> sử dụng dự phòng rủi ro</w:t>
      </w:r>
      <w:r w:rsidR="00742214">
        <w:rPr>
          <w:rFonts w:ascii="Times New Roman" w:eastAsia="Times New Roman" w:hAnsi="Times New Roman" w:cs="Times New Roman"/>
          <w:sz w:val="28"/>
          <w:szCs w:val="28"/>
          <w:lang w:val="en-US"/>
        </w:rPr>
        <w:t xml:space="preserve"> và xử lý tổn thất</w:t>
      </w:r>
      <w:r w:rsidR="008842DA" w:rsidRPr="00CC0061">
        <w:rPr>
          <w:rFonts w:ascii="Times New Roman" w:eastAsia="Times New Roman" w:hAnsi="Times New Roman" w:cs="Times New Roman"/>
          <w:sz w:val="28"/>
          <w:szCs w:val="28"/>
        </w:rPr>
        <w:t xml:space="preserve"> trong hoạt động của tổ chức tín dụng, chi nhánh ngân hàng nước ngoài.</w:t>
      </w:r>
    </w:p>
    <w:p w14:paraId="235644DF" w14:textId="77777777" w:rsidR="00133F17" w:rsidRPr="00CC0061" w:rsidRDefault="008842DA" w:rsidP="00051E8F">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3. Vụ Tài chính - Kế toán căn cứ quy định tại Thông tư này xây dựng, trình Thống đốc Ngân hàng Nhà nước văn bản hướng dẫn thực hiện chế độ hạch toán có liên quan theo quy định của pháp luật.</w:t>
      </w:r>
    </w:p>
    <w:p w14:paraId="3F9CF58E" w14:textId="77777777" w:rsidR="00133F17" w:rsidRPr="00CC0061" w:rsidRDefault="008842DA" w:rsidP="00051E8F">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xml:space="preserve">4. </w:t>
      </w:r>
      <w:r w:rsidR="000114F7">
        <w:rPr>
          <w:rFonts w:ascii="Times New Roman" w:eastAsia="Times New Roman" w:hAnsi="Times New Roman" w:cs="Times New Roman"/>
          <w:sz w:val="28"/>
          <w:szCs w:val="28"/>
          <w:lang w:val="en-US"/>
        </w:rPr>
        <w:t>CIC</w:t>
      </w:r>
      <w:r w:rsidRPr="00CC0061">
        <w:rPr>
          <w:rFonts w:ascii="Times New Roman" w:eastAsia="Times New Roman" w:hAnsi="Times New Roman" w:cs="Times New Roman"/>
          <w:sz w:val="28"/>
          <w:szCs w:val="28"/>
        </w:rPr>
        <w:t xml:space="preserve"> có trách nhiệm tổng hợp, cung cấp danh sách khách hàng theo nhóm nợ có mức độ rủi ro cao nhất cho các tổ chức tín dụng, chi nhánh ngân hàng nước ngoài theo quy định tại khoản 2 Điều 8 Thông tư này.</w:t>
      </w:r>
    </w:p>
    <w:p w14:paraId="03851A90" w14:textId="77777777" w:rsidR="00133F17" w:rsidRPr="00CC0061" w:rsidRDefault="008842DA" w:rsidP="00051E8F">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5. Ngân hàng Nhà nước chi nhánh tỉnh, thành phố trực thuộc trung ương có trách nhiệm:</w:t>
      </w:r>
    </w:p>
    <w:p w14:paraId="2458AEDA" w14:textId="77777777" w:rsidR="00133F17" w:rsidRPr="00CC0061" w:rsidRDefault="008842DA" w:rsidP="00051E8F">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xml:space="preserve">a) Tiếp nhận quy định nội bộ về cấp tín dụng, </w:t>
      </w:r>
      <w:r w:rsidR="00F13541" w:rsidRPr="00CC0061">
        <w:rPr>
          <w:rFonts w:ascii="Times New Roman" w:eastAsia="Times New Roman" w:hAnsi="Times New Roman" w:cs="Times New Roman"/>
          <w:sz w:val="28"/>
          <w:szCs w:val="28"/>
        </w:rPr>
        <w:t>quản lý nợ</w:t>
      </w:r>
      <w:r w:rsidRPr="00CC0061">
        <w:rPr>
          <w:rFonts w:ascii="Times New Roman" w:eastAsia="Times New Roman" w:hAnsi="Times New Roman" w:cs="Times New Roman"/>
          <w:sz w:val="28"/>
          <w:szCs w:val="28"/>
        </w:rPr>
        <w:t xml:space="preserve">, chính sách dự phòng rủi ro của tổ chức tín dụng, chi nhánh ngân hàng nước ngoài theo quy định </w:t>
      </w:r>
      <w:r w:rsidR="004242AC" w:rsidRPr="00CC0061">
        <w:rPr>
          <w:rFonts w:ascii="Times New Roman" w:eastAsia="Times New Roman" w:hAnsi="Times New Roman" w:cs="Times New Roman"/>
          <w:sz w:val="28"/>
          <w:szCs w:val="28"/>
          <w:lang w:val="en-US"/>
        </w:rPr>
        <w:t xml:space="preserve">tại </w:t>
      </w:r>
      <w:r w:rsidRPr="00CC0061">
        <w:rPr>
          <w:rFonts w:ascii="Times New Roman" w:eastAsia="Times New Roman" w:hAnsi="Times New Roman" w:cs="Times New Roman"/>
          <w:sz w:val="28"/>
          <w:szCs w:val="28"/>
        </w:rPr>
        <w:t>Điều 6 Thông tư này để phục vụ cho công tác giám sát an toàn vi mô, thanh tra.</w:t>
      </w:r>
    </w:p>
    <w:p w14:paraId="79389EEF" w14:textId="77777777" w:rsidR="00133F17" w:rsidRPr="00CC0061" w:rsidRDefault="008842DA" w:rsidP="00051E8F">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xml:space="preserve">b) Kiểm tra, thanh tra việc chi nhánh của tổ chức tín dụng trên địa bàn, chi nhánh ngân hàng nước ngoài thuộc đối tượng giám sát an toàn vi mô thực hiện các quy định nội bộ về cấp tín dụng, </w:t>
      </w:r>
      <w:r w:rsidR="00F13541" w:rsidRPr="00CC0061">
        <w:rPr>
          <w:rFonts w:ascii="Times New Roman" w:eastAsia="Times New Roman" w:hAnsi="Times New Roman" w:cs="Times New Roman"/>
          <w:sz w:val="28"/>
          <w:szCs w:val="28"/>
        </w:rPr>
        <w:t>quản lý nợ</w:t>
      </w:r>
      <w:r w:rsidRPr="00CC0061">
        <w:rPr>
          <w:rFonts w:ascii="Times New Roman" w:eastAsia="Times New Roman" w:hAnsi="Times New Roman" w:cs="Times New Roman"/>
          <w:sz w:val="28"/>
          <w:szCs w:val="28"/>
        </w:rPr>
        <w:t>, chính sách dự phòng rủi ro;</w:t>
      </w:r>
    </w:p>
    <w:p w14:paraId="0C362A71" w14:textId="77777777" w:rsidR="00133F17" w:rsidRPr="00CC0061" w:rsidRDefault="008842DA" w:rsidP="00051E8F">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lastRenderedPageBreak/>
        <w:t>c) Kiểm tra, thanh tra việc thực hiện phân loại nợ, cam kết ngoại bảng, trích lập và sử dụng dự phòng rủi ro của chi nhánh của tổ chức tín dụng trên địa bàn, chi nhánh ngân hàng nước ngoài thuộc đối tượng giám sát an toàn vi mô;</w:t>
      </w:r>
    </w:p>
    <w:p w14:paraId="1506EF05" w14:textId="77777777" w:rsidR="00133F17" w:rsidRPr="00CC0061" w:rsidRDefault="008842DA" w:rsidP="00051E8F">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d) Xử lý vi phạm của chi nhánh của tổ chức tín dụng trên địa bàn, chi nhánh ngân hàng nước ngoài thuộc đối tượng giám sát an toàn vi mô theo quy định tại Điều 2</w:t>
      </w:r>
      <w:r w:rsidR="00606079" w:rsidRPr="00CC0061">
        <w:rPr>
          <w:rFonts w:ascii="Times New Roman" w:eastAsia="Times New Roman" w:hAnsi="Times New Roman" w:cs="Times New Roman"/>
          <w:sz w:val="28"/>
          <w:szCs w:val="28"/>
          <w:lang w:val="en-US"/>
        </w:rPr>
        <w:t>4</w:t>
      </w:r>
      <w:r w:rsidRPr="00CC0061">
        <w:rPr>
          <w:rFonts w:ascii="Times New Roman" w:eastAsia="Times New Roman" w:hAnsi="Times New Roman" w:cs="Times New Roman"/>
          <w:sz w:val="28"/>
          <w:szCs w:val="28"/>
        </w:rPr>
        <w:t xml:space="preserve"> Thông tư này theo thẩm quyền</w:t>
      </w:r>
      <w:bookmarkStart w:id="26" w:name="bookmark=id.1hmsyys" w:colFirst="0" w:colLast="0"/>
      <w:bookmarkEnd w:id="26"/>
      <w:r w:rsidR="003326C4" w:rsidRPr="00CC0061">
        <w:rPr>
          <w:rFonts w:ascii="Times New Roman" w:eastAsia="Times New Roman" w:hAnsi="Times New Roman" w:cs="Times New Roman"/>
          <w:sz w:val="28"/>
          <w:szCs w:val="28"/>
        </w:rPr>
        <w:t>.</w:t>
      </w:r>
    </w:p>
    <w:p w14:paraId="460C4E9C" w14:textId="77777777" w:rsidR="00133F17" w:rsidRPr="00CC0061" w:rsidRDefault="008842DA" w:rsidP="00051E8F">
      <w:pPr>
        <w:widowControl/>
        <w:spacing w:before="120" w:after="120" w:line="240" w:lineRule="auto"/>
        <w:ind w:left="-2" w:firstLineChars="202" w:firstLine="568"/>
        <w:jc w:val="both"/>
        <w:rPr>
          <w:rFonts w:ascii="Times New Roman" w:eastAsia="Times New Roman" w:hAnsi="Times New Roman" w:cs="Times New Roman"/>
          <w:sz w:val="28"/>
          <w:szCs w:val="28"/>
        </w:rPr>
      </w:pPr>
      <w:r w:rsidRPr="00CC0061">
        <w:rPr>
          <w:rFonts w:ascii="Times New Roman" w:eastAsia="Times New Roman" w:hAnsi="Times New Roman" w:cs="Times New Roman"/>
          <w:b/>
          <w:sz w:val="28"/>
          <w:szCs w:val="28"/>
        </w:rPr>
        <w:t>Điều 2</w:t>
      </w:r>
      <w:r w:rsidR="004A5EBB" w:rsidRPr="00CC0061">
        <w:rPr>
          <w:rFonts w:ascii="Times New Roman" w:eastAsia="Times New Roman" w:hAnsi="Times New Roman" w:cs="Times New Roman"/>
          <w:b/>
          <w:sz w:val="28"/>
          <w:szCs w:val="28"/>
          <w:lang w:val="en-US"/>
        </w:rPr>
        <w:t>4</w:t>
      </w:r>
      <w:r w:rsidRPr="00CC0061">
        <w:rPr>
          <w:rFonts w:ascii="Times New Roman" w:eastAsia="Times New Roman" w:hAnsi="Times New Roman" w:cs="Times New Roman"/>
          <w:b/>
          <w:sz w:val="28"/>
          <w:szCs w:val="28"/>
        </w:rPr>
        <w:t>. Xử lý vi phạm</w:t>
      </w:r>
    </w:p>
    <w:p w14:paraId="61308E90" w14:textId="77777777" w:rsidR="00133F17" w:rsidRPr="00CC0061" w:rsidRDefault="008842DA" w:rsidP="00051E8F">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Tổ chức tín dụng, chi nhánh ngân hàng nước ngoài và cá nhân có liên quan vi phạm các quy định tại Thông tư này, ngoài việc</w:t>
      </w:r>
      <w:r w:rsidR="000114F7">
        <w:rPr>
          <w:rFonts w:ascii="Times New Roman" w:eastAsia="Times New Roman" w:hAnsi="Times New Roman" w:cs="Times New Roman"/>
          <w:sz w:val="28"/>
          <w:szCs w:val="28"/>
        </w:rPr>
        <w:t xml:space="preserve"> phải thực hiện phân loại nợ</w:t>
      </w:r>
      <w:r w:rsidR="000114F7" w:rsidRPr="00D762AE">
        <w:rPr>
          <w:rFonts w:ascii="Times New Roman" w:eastAsia="Times New Roman" w:hAnsi="Times New Roman" w:cs="Times New Roman"/>
          <w:sz w:val="28"/>
          <w:szCs w:val="28"/>
        </w:rPr>
        <w:t xml:space="preserve">, </w:t>
      </w:r>
      <w:r w:rsidRPr="00CC0061">
        <w:rPr>
          <w:rFonts w:ascii="Times New Roman" w:eastAsia="Times New Roman" w:hAnsi="Times New Roman" w:cs="Times New Roman"/>
          <w:sz w:val="28"/>
          <w:szCs w:val="28"/>
        </w:rPr>
        <w:t>cam kết ngoại b</w:t>
      </w:r>
      <w:r w:rsidR="000114F7">
        <w:rPr>
          <w:rFonts w:ascii="Times New Roman" w:eastAsia="Times New Roman" w:hAnsi="Times New Roman" w:cs="Times New Roman"/>
          <w:sz w:val="28"/>
          <w:szCs w:val="28"/>
        </w:rPr>
        <w:t>ảng, trích lập dự phòng rủi ro</w:t>
      </w:r>
      <w:r w:rsidR="000114F7" w:rsidRPr="00D762AE">
        <w:rPr>
          <w:rFonts w:ascii="Times New Roman" w:eastAsia="Times New Roman" w:hAnsi="Times New Roman" w:cs="Times New Roman"/>
          <w:sz w:val="28"/>
          <w:szCs w:val="28"/>
        </w:rPr>
        <w:t xml:space="preserve">, </w:t>
      </w:r>
      <w:r w:rsidRPr="00CC0061">
        <w:rPr>
          <w:rFonts w:ascii="Times New Roman" w:eastAsia="Times New Roman" w:hAnsi="Times New Roman" w:cs="Times New Roman"/>
          <w:sz w:val="28"/>
          <w:szCs w:val="28"/>
        </w:rPr>
        <w:t>sử dụng dự phòng rủi ro đối với nợ t</w:t>
      </w:r>
      <w:bookmarkStart w:id="27" w:name="bookmark=id.41mghml" w:colFirst="0" w:colLast="0"/>
      <w:bookmarkEnd w:id="27"/>
      <w:r w:rsidRPr="00CC0061">
        <w:rPr>
          <w:rFonts w:ascii="Times New Roman" w:eastAsia="Times New Roman" w:hAnsi="Times New Roman" w:cs="Times New Roman"/>
          <w:sz w:val="28"/>
          <w:szCs w:val="28"/>
        </w:rPr>
        <w:t>heo đúng quy định tại Thông tư này, theo tính chất và mức độ vi phạm sẽ bị xử lý theo quy định về xử phạt vi phạm hành chính trong lĩnh vực tiền tệ và hoạt động ngân hàng.</w:t>
      </w:r>
    </w:p>
    <w:p w14:paraId="1EDA06A0" w14:textId="77777777" w:rsidR="00133F17" w:rsidRPr="00CC0061" w:rsidRDefault="008842DA" w:rsidP="00051E8F">
      <w:pPr>
        <w:widowControl/>
        <w:spacing w:before="120" w:after="120" w:line="240" w:lineRule="auto"/>
        <w:ind w:left="-2" w:firstLineChars="0" w:firstLine="2"/>
        <w:jc w:val="center"/>
        <w:rPr>
          <w:rFonts w:ascii="Times New Roman" w:eastAsia="Times New Roman" w:hAnsi="Times New Roman" w:cs="Times New Roman"/>
          <w:sz w:val="28"/>
          <w:szCs w:val="28"/>
        </w:rPr>
      </w:pPr>
      <w:r w:rsidRPr="00CC0061">
        <w:rPr>
          <w:rFonts w:ascii="Times New Roman" w:eastAsia="Times New Roman" w:hAnsi="Times New Roman" w:cs="Times New Roman"/>
          <w:b/>
          <w:sz w:val="28"/>
          <w:szCs w:val="28"/>
        </w:rPr>
        <w:t>Chương IV</w:t>
      </w:r>
      <w:bookmarkStart w:id="28" w:name="bookmark=id.2grqrue" w:colFirst="0" w:colLast="0"/>
      <w:bookmarkEnd w:id="28"/>
    </w:p>
    <w:p w14:paraId="2D3CF993" w14:textId="77777777" w:rsidR="00133F17" w:rsidRPr="00CC0061" w:rsidRDefault="008842DA" w:rsidP="00051E8F">
      <w:pPr>
        <w:widowControl/>
        <w:pBdr>
          <w:top w:val="nil"/>
          <w:left w:val="nil"/>
          <w:bottom w:val="nil"/>
          <w:right w:val="nil"/>
          <w:between w:val="nil"/>
        </w:pBdr>
        <w:shd w:val="clear" w:color="auto" w:fill="FFFFFF"/>
        <w:spacing w:before="120" w:after="120" w:line="240" w:lineRule="auto"/>
        <w:ind w:left="-2" w:firstLineChars="0" w:firstLine="2"/>
        <w:jc w:val="center"/>
        <w:rPr>
          <w:rFonts w:ascii="Times New Roman" w:eastAsia="Times New Roman" w:hAnsi="Times New Roman" w:cs="Times New Roman"/>
          <w:sz w:val="28"/>
          <w:szCs w:val="28"/>
        </w:rPr>
      </w:pPr>
      <w:r w:rsidRPr="00CC0061">
        <w:rPr>
          <w:rFonts w:ascii="Times New Roman" w:eastAsia="Times New Roman" w:hAnsi="Times New Roman" w:cs="Times New Roman"/>
          <w:b/>
          <w:sz w:val="28"/>
          <w:szCs w:val="28"/>
        </w:rPr>
        <w:t>ĐIỀU KHOẢN THI HÀNH </w:t>
      </w:r>
    </w:p>
    <w:p w14:paraId="173F40E4" w14:textId="77777777" w:rsidR="00133F17" w:rsidRPr="00CC0061" w:rsidRDefault="008842DA" w:rsidP="00051E8F">
      <w:pPr>
        <w:widowControl/>
        <w:pBdr>
          <w:top w:val="nil"/>
          <w:left w:val="nil"/>
          <w:bottom w:val="nil"/>
          <w:right w:val="nil"/>
          <w:between w:val="nil"/>
        </w:pBdr>
        <w:shd w:val="clear" w:color="auto" w:fill="FFFFFF"/>
        <w:spacing w:before="120" w:after="120" w:line="240" w:lineRule="auto"/>
        <w:ind w:left="-2" w:firstLineChars="202" w:firstLine="568"/>
        <w:jc w:val="both"/>
        <w:rPr>
          <w:rFonts w:ascii="Times New Roman" w:eastAsia="Times New Roman" w:hAnsi="Times New Roman" w:cs="Times New Roman"/>
          <w:sz w:val="28"/>
          <w:szCs w:val="28"/>
        </w:rPr>
      </w:pPr>
      <w:bookmarkStart w:id="29" w:name="bookmark=id.vx1227" w:colFirst="0" w:colLast="0"/>
      <w:bookmarkEnd w:id="29"/>
      <w:r w:rsidRPr="00CC0061">
        <w:rPr>
          <w:rFonts w:ascii="Times New Roman" w:eastAsia="Times New Roman" w:hAnsi="Times New Roman" w:cs="Times New Roman"/>
          <w:b/>
          <w:sz w:val="28"/>
          <w:szCs w:val="28"/>
        </w:rPr>
        <w:t>Điều 2</w:t>
      </w:r>
      <w:r w:rsidR="004A5EBB" w:rsidRPr="00CC0061">
        <w:rPr>
          <w:rFonts w:ascii="Times New Roman" w:eastAsia="Times New Roman" w:hAnsi="Times New Roman" w:cs="Times New Roman"/>
          <w:b/>
          <w:sz w:val="28"/>
          <w:szCs w:val="28"/>
          <w:lang w:val="en-US"/>
        </w:rPr>
        <w:t>5</w:t>
      </w:r>
      <w:r w:rsidRPr="00CC0061">
        <w:rPr>
          <w:rFonts w:ascii="Times New Roman" w:eastAsia="Times New Roman" w:hAnsi="Times New Roman" w:cs="Times New Roman"/>
          <w:b/>
          <w:sz w:val="28"/>
          <w:szCs w:val="28"/>
        </w:rPr>
        <w:t>. Quy định chuyển tiếp</w:t>
      </w:r>
    </w:p>
    <w:p w14:paraId="70A91F0D" w14:textId="77777777" w:rsidR="00133F17" w:rsidRPr="00CC0061" w:rsidRDefault="008842DA" w:rsidP="00051E8F">
      <w:pPr>
        <w:widowControl/>
        <w:pBdr>
          <w:top w:val="nil"/>
          <w:left w:val="nil"/>
          <w:bottom w:val="nil"/>
          <w:right w:val="nil"/>
          <w:between w:val="nil"/>
        </w:pBdr>
        <w:shd w:val="clear" w:color="auto" w:fill="FFFFFF"/>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1. Tổ chức tín dụng đã được Thống đốc Ngân hàng Nhà nước quyết định các biện pháp cụ thể về phân loại nợ, cam kết ngoại bảng, trích lập và sử dụng dự phòng để xử lý rủi ro trước ngày Thông tư này có hiệu lực thi hành thì thực hiện theo quyết định đó của Thống đốc Ngân hàng Nhà nước.</w:t>
      </w:r>
    </w:p>
    <w:p w14:paraId="231926B7" w14:textId="77777777" w:rsidR="00133F17" w:rsidRPr="00CC0061" w:rsidRDefault="008842DA" w:rsidP="00051E8F">
      <w:pPr>
        <w:widowControl/>
        <w:pBdr>
          <w:top w:val="nil"/>
          <w:left w:val="nil"/>
          <w:bottom w:val="nil"/>
          <w:right w:val="nil"/>
          <w:between w:val="nil"/>
        </w:pBdr>
        <w:shd w:val="clear" w:color="auto" w:fill="FFFFFF"/>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xml:space="preserve">2. Tổ chức tín dụng, chi nhánh ngân hàng nước ngoài được Ngân hàng Nhà nước chấp </w:t>
      </w:r>
      <w:r w:rsidR="000114F7">
        <w:rPr>
          <w:rFonts w:ascii="Times New Roman" w:eastAsia="Times New Roman" w:hAnsi="Times New Roman" w:cs="Times New Roman"/>
          <w:sz w:val="28"/>
          <w:szCs w:val="28"/>
        </w:rPr>
        <w:t>thuận thực hiện phân loại nợ</w:t>
      </w:r>
      <w:r w:rsidR="000114F7">
        <w:rPr>
          <w:rFonts w:ascii="Times New Roman" w:eastAsia="Times New Roman" w:hAnsi="Times New Roman" w:cs="Times New Roman"/>
          <w:sz w:val="28"/>
          <w:szCs w:val="28"/>
          <w:lang w:val="en-US"/>
        </w:rPr>
        <w:t xml:space="preserve">, </w:t>
      </w:r>
      <w:r w:rsidRPr="00CC0061">
        <w:rPr>
          <w:rFonts w:ascii="Times New Roman" w:eastAsia="Times New Roman" w:hAnsi="Times New Roman" w:cs="Times New Roman"/>
          <w:sz w:val="28"/>
          <w:szCs w:val="28"/>
        </w:rPr>
        <w:t>cam kết ngoại bảng theo phương pháp định tính trước ngày Thông tư này có hiệu lực thi hành, tiếp tục thực hiện theo văn bản chấp thuận</w:t>
      </w:r>
      <w:r w:rsidR="000F4E7C">
        <w:rPr>
          <w:rFonts w:ascii="Times New Roman" w:eastAsia="Times New Roman" w:hAnsi="Times New Roman" w:cs="Times New Roman"/>
          <w:sz w:val="28"/>
          <w:szCs w:val="28"/>
          <w:lang w:val="en-US"/>
        </w:rPr>
        <w:t xml:space="preserve"> đó</w:t>
      </w:r>
      <w:r w:rsidRPr="00CC0061">
        <w:rPr>
          <w:rFonts w:ascii="Times New Roman" w:eastAsia="Times New Roman" w:hAnsi="Times New Roman" w:cs="Times New Roman"/>
          <w:sz w:val="28"/>
          <w:szCs w:val="28"/>
        </w:rPr>
        <w:t xml:space="preserve"> của Ngân hàng Nhà nước.</w:t>
      </w:r>
    </w:p>
    <w:p w14:paraId="16EF1107" w14:textId="77777777" w:rsidR="00133F17" w:rsidRPr="00CC0061" w:rsidRDefault="004A5EBB" w:rsidP="00051E8F">
      <w:pPr>
        <w:widowControl/>
        <w:pBdr>
          <w:top w:val="nil"/>
          <w:left w:val="nil"/>
          <w:bottom w:val="nil"/>
          <w:right w:val="nil"/>
          <w:between w:val="nil"/>
        </w:pBdr>
        <w:shd w:val="clear" w:color="auto" w:fill="FFFFFF"/>
        <w:spacing w:before="120" w:after="120" w:line="240" w:lineRule="auto"/>
        <w:ind w:left="-2" w:firstLineChars="202" w:firstLine="568"/>
        <w:rPr>
          <w:rFonts w:ascii="Times New Roman" w:eastAsia="Times New Roman" w:hAnsi="Times New Roman" w:cs="Times New Roman"/>
          <w:sz w:val="28"/>
          <w:szCs w:val="28"/>
        </w:rPr>
      </w:pPr>
      <w:r w:rsidRPr="00CC0061">
        <w:rPr>
          <w:rFonts w:ascii="Times New Roman" w:eastAsia="Times New Roman" w:hAnsi="Times New Roman" w:cs="Times New Roman"/>
          <w:b/>
          <w:sz w:val="28"/>
          <w:szCs w:val="28"/>
        </w:rPr>
        <w:t>Điều 26</w:t>
      </w:r>
      <w:r w:rsidR="008842DA" w:rsidRPr="00CC0061">
        <w:rPr>
          <w:rFonts w:ascii="Times New Roman" w:eastAsia="Times New Roman" w:hAnsi="Times New Roman" w:cs="Times New Roman"/>
          <w:b/>
          <w:sz w:val="28"/>
          <w:szCs w:val="28"/>
        </w:rPr>
        <w:t>. Điều khoản thi hành</w:t>
      </w:r>
    </w:p>
    <w:p w14:paraId="6C6CE526" w14:textId="7A1216CE" w:rsidR="00133F17" w:rsidRPr="00CC0061" w:rsidRDefault="008842DA" w:rsidP="00051E8F">
      <w:pPr>
        <w:widowControl/>
        <w:pBdr>
          <w:top w:val="nil"/>
          <w:left w:val="nil"/>
          <w:bottom w:val="nil"/>
          <w:right w:val="nil"/>
          <w:between w:val="nil"/>
        </w:pBdr>
        <w:shd w:val="clear" w:color="auto" w:fill="FFFFFF"/>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1. Thông tư này có hiệu lực thi hành kể từ ngày</w:t>
      </w:r>
      <w:r w:rsidR="00A82F8E">
        <w:rPr>
          <w:rFonts w:ascii="Times New Roman" w:eastAsia="Times New Roman" w:hAnsi="Times New Roman" w:cs="Times New Roman"/>
          <w:sz w:val="28"/>
          <w:szCs w:val="28"/>
          <w:lang w:val="en-US"/>
        </w:rPr>
        <w:t xml:space="preserve"> 01</w:t>
      </w:r>
      <w:r w:rsidRPr="00CC0061">
        <w:rPr>
          <w:rFonts w:ascii="Times New Roman" w:eastAsia="Times New Roman" w:hAnsi="Times New Roman" w:cs="Times New Roman"/>
          <w:sz w:val="28"/>
          <w:szCs w:val="28"/>
        </w:rPr>
        <w:t xml:space="preserve"> tháng </w:t>
      </w:r>
      <w:r w:rsidR="00A82F8E">
        <w:rPr>
          <w:rFonts w:ascii="Times New Roman" w:eastAsia="Times New Roman" w:hAnsi="Times New Roman" w:cs="Times New Roman"/>
          <w:sz w:val="28"/>
          <w:szCs w:val="28"/>
          <w:lang w:val="en-US"/>
        </w:rPr>
        <w:t>10</w:t>
      </w:r>
      <w:r w:rsidRPr="00CC0061">
        <w:rPr>
          <w:rFonts w:ascii="Times New Roman" w:eastAsia="Times New Roman" w:hAnsi="Times New Roman" w:cs="Times New Roman"/>
          <w:sz w:val="28"/>
          <w:szCs w:val="28"/>
        </w:rPr>
        <w:t xml:space="preserve"> năm 2021.</w:t>
      </w:r>
    </w:p>
    <w:p w14:paraId="289FD812" w14:textId="77777777" w:rsidR="00133F17" w:rsidRPr="00CC0061" w:rsidRDefault="002435F6" w:rsidP="00051E8F">
      <w:pPr>
        <w:widowControl/>
        <w:pBdr>
          <w:top w:val="nil"/>
          <w:left w:val="nil"/>
          <w:bottom w:val="nil"/>
          <w:right w:val="nil"/>
          <w:between w:val="nil"/>
        </w:pBdr>
        <w:shd w:val="clear" w:color="auto" w:fill="FFFFFF"/>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lang w:val="en-US"/>
        </w:rPr>
        <w:t>2.</w:t>
      </w:r>
      <w:r w:rsidR="00641D31" w:rsidRPr="00CC0061">
        <w:rPr>
          <w:rFonts w:ascii="Times New Roman" w:eastAsia="Times New Roman" w:hAnsi="Times New Roman" w:cs="Times New Roman"/>
          <w:sz w:val="28"/>
          <w:szCs w:val="28"/>
          <w:lang w:val="en-US"/>
        </w:rPr>
        <w:t xml:space="preserve"> </w:t>
      </w:r>
      <w:r w:rsidR="008842DA" w:rsidRPr="00CC0061">
        <w:rPr>
          <w:rFonts w:ascii="Times New Roman" w:eastAsia="Times New Roman" w:hAnsi="Times New Roman" w:cs="Times New Roman"/>
          <w:sz w:val="28"/>
          <w:szCs w:val="28"/>
        </w:rPr>
        <w:t>Các quy định sau đây hết hiệu lực thi hành kể từ ngày Thông tư này có hiệu lực thi hành:</w:t>
      </w:r>
    </w:p>
    <w:p w14:paraId="1730E85C" w14:textId="77777777" w:rsidR="00133F17" w:rsidRPr="00CC0061" w:rsidRDefault="008842DA" w:rsidP="00051E8F">
      <w:pPr>
        <w:widowControl/>
        <w:pBdr>
          <w:top w:val="nil"/>
          <w:left w:val="nil"/>
          <w:bottom w:val="nil"/>
          <w:right w:val="nil"/>
          <w:between w:val="nil"/>
        </w:pBdr>
        <w:shd w:val="clear" w:color="auto" w:fill="FFFFFF"/>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a) Thông tư số 02/2013/TT-NHNN ngày 21 tháng 01 năm 2013 của Thống đốc Ngân hàng Nhà nước quy định về phân loại tài sản có, mức trích, phương pháp trích lập dự phòng rủi ro và việc sử dụng dự phòng để xử l</w:t>
      </w:r>
      <w:r w:rsidR="000F4E7C">
        <w:rPr>
          <w:rFonts w:ascii="Times New Roman" w:eastAsia="Times New Roman" w:hAnsi="Times New Roman" w:cs="Times New Roman"/>
          <w:sz w:val="28"/>
          <w:szCs w:val="28"/>
        </w:rPr>
        <w:t xml:space="preserve">ý rủi ro trong hoạt động </w:t>
      </w:r>
      <w:r w:rsidR="000F4E7C">
        <w:rPr>
          <w:rFonts w:ascii="Times New Roman" w:eastAsia="Times New Roman" w:hAnsi="Times New Roman" w:cs="Times New Roman"/>
          <w:sz w:val="28"/>
          <w:szCs w:val="28"/>
          <w:lang w:val="en-US"/>
        </w:rPr>
        <w:t>của</w:t>
      </w:r>
      <w:r w:rsidRPr="00CC0061">
        <w:rPr>
          <w:rFonts w:ascii="Times New Roman" w:eastAsia="Times New Roman" w:hAnsi="Times New Roman" w:cs="Times New Roman"/>
          <w:sz w:val="28"/>
          <w:szCs w:val="28"/>
        </w:rPr>
        <w:t xml:space="preserve"> tổ chức tín dụng, chi nhánh ngân hàng nước ngoài.</w:t>
      </w:r>
    </w:p>
    <w:p w14:paraId="4A4EBF47" w14:textId="77777777" w:rsidR="00133F17" w:rsidRPr="00CC0061" w:rsidRDefault="008842DA" w:rsidP="00051E8F">
      <w:pPr>
        <w:widowControl/>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 xml:space="preserve">b) Thông tư số 09/2014/TT-NHNN ngày 18 tháng </w:t>
      </w:r>
      <w:r w:rsidR="000F4E7C">
        <w:rPr>
          <w:rFonts w:ascii="Times New Roman" w:eastAsia="Times New Roman" w:hAnsi="Times New Roman" w:cs="Times New Roman"/>
          <w:sz w:val="28"/>
          <w:szCs w:val="28"/>
        </w:rPr>
        <w:t>3 năm 201</w:t>
      </w:r>
      <w:r w:rsidR="000F4E7C">
        <w:rPr>
          <w:rFonts w:ascii="Times New Roman" w:eastAsia="Times New Roman" w:hAnsi="Times New Roman" w:cs="Times New Roman"/>
          <w:sz w:val="28"/>
          <w:szCs w:val="28"/>
          <w:lang w:val="en-US"/>
        </w:rPr>
        <w:t>4</w:t>
      </w:r>
      <w:r w:rsidRPr="00CC0061">
        <w:rPr>
          <w:rFonts w:ascii="Times New Roman" w:eastAsia="Times New Roman" w:hAnsi="Times New Roman" w:cs="Times New Roman"/>
          <w:sz w:val="28"/>
          <w:szCs w:val="28"/>
        </w:rPr>
        <w:t xml:space="preserve"> của Thống đốc Ngân hàng Nhà nước sửa đổi, bổ sung một số điều của Thông tư số 02/2013/TT-NHNN ngày 21 tháng 01 năm 2013 của Thống đốc Ngân hàng Nhà nước quy định về phân loại tài sản có, mức trích, phương pháp trích lập dự phòng rủi ro và việc sử dụng dự phòng để xử lý rủi ro trong hoạt động </w:t>
      </w:r>
      <w:r w:rsidR="000F4E7C">
        <w:rPr>
          <w:rFonts w:ascii="Times New Roman" w:eastAsia="Times New Roman" w:hAnsi="Times New Roman" w:cs="Times New Roman"/>
          <w:sz w:val="28"/>
          <w:szCs w:val="28"/>
          <w:lang w:val="en-US"/>
        </w:rPr>
        <w:t>của</w:t>
      </w:r>
      <w:r w:rsidRPr="00CC0061">
        <w:rPr>
          <w:rFonts w:ascii="Times New Roman" w:eastAsia="Times New Roman" w:hAnsi="Times New Roman" w:cs="Times New Roman"/>
          <w:sz w:val="28"/>
          <w:szCs w:val="28"/>
        </w:rPr>
        <w:t xml:space="preserve"> tổ chức tín dụng, chi nhánh ngân hàng nước ngoài.</w:t>
      </w:r>
    </w:p>
    <w:p w14:paraId="4A0CE6ED" w14:textId="77777777" w:rsidR="00051E8F" w:rsidRDefault="00051E8F" w:rsidP="00DF2532">
      <w:pPr>
        <w:widowControl/>
        <w:pBdr>
          <w:top w:val="nil"/>
          <w:left w:val="nil"/>
          <w:bottom w:val="nil"/>
          <w:right w:val="nil"/>
          <w:between w:val="nil"/>
        </w:pBdr>
        <w:shd w:val="clear" w:color="auto" w:fill="FFFFFF"/>
        <w:spacing w:before="120" w:after="120" w:line="240" w:lineRule="auto"/>
        <w:ind w:left="-2" w:firstLineChars="202" w:firstLine="568"/>
        <w:jc w:val="both"/>
        <w:rPr>
          <w:rFonts w:ascii="Times New Roman" w:eastAsia="Times New Roman" w:hAnsi="Times New Roman" w:cs="Times New Roman"/>
          <w:b/>
          <w:sz w:val="28"/>
          <w:szCs w:val="28"/>
        </w:rPr>
      </w:pPr>
    </w:p>
    <w:p w14:paraId="6C03EDA8" w14:textId="77777777" w:rsidR="00133F17" w:rsidRPr="00CC0061" w:rsidRDefault="004A5EBB" w:rsidP="00DF2532">
      <w:pPr>
        <w:widowControl/>
        <w:pBdr>
          <w:top w:val="nil"/>
          <w:left w:val="nil"/>
          <w:bottom w:val="nil"/>
          <w:right w:val="nil"/>
          <w:between w:val="nil"/>
        </w:pBdr>
        <w:shd w:val="clear" w:color="auto" w:fill="FFFFFF"/>
        <w:spacing w:before="120" w:after="120" w:line="240" w:lineRule="auto"/>
        <w:ind w:left="-2" w:firstLineChars="202" w:firstLine="568"/>
        <w:jc w:val="both"/>
        <w:rPr>
          <w:rFonts w:ascii="Times New Roman" w:eastAsia="Times New Roman" w:hAnsi="Times New Roman" w:cs="Times New Roman"/>
          <w:sz w:val="28"/>
          <w:szCs w:val="28"/>
        </w:rPr>
      </w:pPr>
      <w:r w:rsidRPr="00CC0061">
        <w:rPr>
          <w:rFonts w:ascii="Times New Roman" w:eastAsia="Times New Roman" w:hAnsi="Times New Roman" w:cs="Times New Roman"/>
          <w:b/>
          <w:sz w:val="28"/>
          <w:szCs w:val="28"/>
        </w:rPr>
        <w:lastRenderedPageBreak/>
        <w:t>Điều 27</w:t>
      </w:r>
      <w:r w:rsidR="008842DA" w:rsidRPr="00CC0061">
        <w:rPr>
          <w:rFonts w:ascii="Times New Roman" w:eastAsia="Times New Roman" w:hAnsi="Times New Roman" w:cs="Times New Roman"/>
          <w:b/>
          <w:sz w:val="28"/>
          <w:szCs w:val="28"/>
        </w:rPr>
        <w:t>. Tổ chức thực hiện</w:t>
      </w:r>
    </w:p>
    <w:p w14:paraId="6DC144E2" w14:textId="77777777" w:rsidR="00133F17" w:rsidRPr="00CC0061" w:rsidRDefault="008842DA" w:rsidP="00DF2532">
      <w:pPr>
        <w:widowControl/>
        <w:pBdr>
          <w:top w:val="nil"/>
          <w:left w:val="nil"/>
          <w:bottom w:val="nil"/>
          <w:right w:val="nil"/>
          <w:between w:val="nil"/>
        </w:pBdr>
        <w:shd w:val="clear" w:color="auto" w:fill="FFFFFF"/>
        <w:spacing w:before="120" w:after="120" w:line="240" w:lineRule="auto"/>
        <w:ind w:left="-2" w:firstLineChars="202" w:firstLine="566"/>
        <w:jc w:val="both"/>
        <w:rPr>
          <w:rFonts w:ascii="Times New Roman" w:eastAsia="Times New Roman" w:hAnsi="Times New Roman" w:cs="Times New Roman"/>
          <w:sz w:val="28"/>
          <w:szCs w:val="28"/>
        </w:rPr>
      </w:pPr>
      <w:r w:rsidRPr="00CC0061">
        <w:rPr>
          <w:rFonts w:ascii="Times New Roman" w:eastAsia="Times New Roman" w:hAnsi="Times New Roman" w:cs="Times New Roman"/>
          <w:sz w:val="28"/>
          <w:szCs w:val="28"/>
        </w:rPr>
        <w:t>Chánh Văn phòng, Chánh Thanh tra, giám sát ngân hàng, Thủ trưởng đơn vị thu</w:t>
      </w:r>
      <w:r w:rsidR="00595C74" w:rsidRPr="00CC0061">
        <w:rPr>
          <w:rFonts w:ascii="Times New Roman" w:eastAsia="Times New Roman" w:hAnsi="Times New Roman" w:cs="Times New Roman"/>
          <w:sz w:val="28"/>
          <w:szCs w:val="28"/>
        </w:rPr>
        <w:t>ộc Ngân hàng Nhà nước Việt Nam</w:t>
      </w:r>
      <w:r w:rsidRPr="00CC0061">
        <w:rPr>
          <w:rFonts w:ascii="Times New Roman" w:eastAsia="Times New Roman" w:hAnsi="Times New Roman" w:cs="Times New Roman"/>
          <w:sz w:val="28"/>
          <w:szCs w:val="28"/>
        </w:rPr>
        <w:t>, tổ chức tín dụng, chi nhánh ngân hàng nước ngoài chịu trách nhiệm tổ chức thực hiện Thông tư này./.</w:t>
      </w:r>
    </w:p>
    <w:tbl>
      <w:tblPr>
        <w:tblStyle w:val="a2"/>
        <w:tblW w:w="9287" w:type="dxa"/>
        <w:tblLayout w:type="fixed"/>
        <w:tblLook w:val="0000" w:firstRow="0" w:lastRow="0" w:firstColumn="0" w:lastColumn="0" w:noHBand="0" w:noVBand="0"/>
      </w:tblPr>
      <w:tblGrid>
        <w:gridCol w:w="4643"/>
        <w:gridCol w:w="4644"/>
      </w:tblGrid>
      <w:tr w:rsidR="00133F17" w:rsidRPr="00CC0061" w14:paraId="603220E2" w14:textId="77777777" w:rsidTr="004843EE">
        <w:tc>
          <w:tcPr>
            <w:tcW w:w="4643" w:type="dxa"/>
          </w:tcPr>
          <w:p w14:paraId="2A7C7FE0" w14:textId="77777777" w:rsidR="00133F17" w:rsidRPr="00CC0061" w:rsidRDefault="008842DA" w:rsidP="006C1DDE">
            <w:pPr>
              <w:widowControl/>
              <w:ind w:left="-2" w:firstLineChars="0" w:firstLine="0"/>
              <w:rPr>
                <w:sz w:val="22"/>
                <w:szCs w:val="22"/>
              </w:rPr>
            </w:pPr>
            <w:r w:rsidRPr="000F4E7C">
              <w:rPr>
                <w:b/>
                <w:i/>
              </w:rPr>
              <w:t>Nơi nhận:</w:t>
            </w:r>
            <w:r w:rsidRPr="00CC0061">
              <w:rPr>
                <w:b/>
                <w:sz w:val="22"/>
                <w:szCs w:val="22"/>
              </w:rPr>
              <w:br/>
            </w:r>
            <w:r w:rsidRPr="00CC0061">
              <w:rPr>
                <w:sz w:val="22"/>
                <w:szCs w:val="22"/>
              </w:rPr>
              <w:t>- Như Điều 2</w:t>
            </w:r>
            <w:r w:rsidR="006C1DDE" w:rsidRPr="00CC0061">
              <w:rPr>
                <w:sz w:val="22"/>
                <w:szCs w:val="22"/>
                <w:lang w:val="en-US"/>
              </w:rPr>
              <w:t>7</w:t>
            </w:r>
            <w:r w:rsidRPr="00CC0061">
              <w:rPr>
                <w:sz w:val="22"/>
                <w:szCs w:val="22"/>
              </w:rPr>
              <w:t>;</w:t>
            </w:r>
            <w:r w:rsidRPr="00CC0061">
              <w:rPr>
                <w:sz w:val="22"/>
                <w:szCs w:val="22"/>
              </w:rPr>
              <w:br/>
              <w:t>- Văn phòng Chính phủ;</w:t>
            </w:r>
            <w:r w:rsidRPr="00CC0061">
              <w:rPr>
                <w:sz w:val="22"/>
                <w:szCs w:val="22"/>
              </w:rPr>
              <w:br/>
              <w:t>- Bộ Tư pháp (để kiểm tra);</w:t>
            </w:r>
            <w:r w:rsidRPr="00CC0061">
              <w:rPr>
                <w:sz w:val="22"/>
                <w:szCs w:val="22"/>
              </w:rPr>
              <w:br/>
              <w:t>- Bộ Tài chính (để phối hợp);</w:t>
            </w:r>
            <w:r w:rsidRPr="00CC0061">
              <w:rPr>
                <w:sz w:val="22"/>
                <w:szCs w:val="22"/>
              </w:rPr>
              <w:br/>
              <w:t>- Công báo;</w:t>
            </w:r>
            <w:r w:rsidRPr="00CC0061">
              <w:rPr>
                <w:sz w:val="22"/>
                <w:szCs w:val="22"/>
              </w:rPr>
              <w:br/>
              <w:t>- Lưu VP, PC, TTGSNH6 (3 bản).</w:t>
            </w:r>
          </w:p>
        </w:tc>
        <w:tc>
          <w:tcPr>
            <w:tcW w:w="4644" w:type="dxa"/>
          </w:tcPr>
          <w:p w14:paraId="05426BE7" w14:textId="77777777" w:rsidR="00133F17" w:rsidRPr="00CC0061" w:rsidRDefault="008842DA" w:rsidP="00A42E2F">
            <w:pPr>
              <w:widowControl/>
              <w:ind w:left="-2" w:firstLineChars="236" w:firstLine="616"/>
              <w:jc w:val="center"/>
              <w:rPr>
                <w:sz w:val="26"/>
                <w:szCs w:val="26"/>
              </w:rPr>
            </w:pPr>
            <w:r w:rsidRPr="00CC0061">
              <w:rPr>
                <w:b/>
                <w:sz w:val="26"/>
                <w:szCs w:val="26"/>
              </w:rPr>
              <w:t>THỐNG ĐỐC</w:t>
            </w:r>
            <w:r w:rsidRPr="00CC0061">
              <w:rPr>
                <w:b/>
                <w:sz w:val="26"/>
                <w:szCs w:val="26"/>
              </w:rPr>
              <w:br/>
            </w:r>
            <w:r w:rsidRPr="00CC0061">
              <w:rPr>
                <w:b/>
                <w:sz w:val="26"/>
                <w:szCs w:val="26"/>
              </w:rPr>
              <w:br/>
            </w:r>
            <w:r w:rsidRPr="00CC0061">
              <w:rPr>
                <w:b/>
                <w:sz w:val="26"/>
                <w:szCs w:val="26"/>
              </w:rPr>
              <w:br/>
            </w:r>
            <w:r w:rsidRPr="00CC0061">
              <w:rPr>
                <w:b/>
                <w:sz w:val="26"/>
                <w:szCs w:val="26"/>
              </w:rPr>
              <w:br/>
            </w:r>
          </w:p>
        </w:tc>
      </w:tr>
    </w:tbl>
    <w:p w14:paraId="7E245F21" w14:textId="77777777" w:rsidR="00536528" w:rsidRDefault="00536528" w:rsidP="00ED0DE8">
      <w:pPr>
        <w:widowControl/>
        <w:pBdr>
          <w:top w:val="nil"/>
          <w:left w:val="nil"/>
          <w:bottom w:val="nil"/>
          <w:right w:val="nil"/>
          <w:between w:val="nil"/>
        </w:pBdr>
        <w:shd w:val="clear" w:color="auto" w:fill="FFFFFF"/>
        <w:spacing w:before="120" w:after="120" w:line="240" w:lineRule="auto"/>
        <w:ind w:left="-2" w:firstLineChars="236" w:firstLine="496"/>
        <w:rPr>
          <w:rFonts w:ascii="Arial" w:eastAsia="Arial" w:hAnsi="Arial" w:cs="Arial"/>
          <w:color w:val="333333"/>
          <w:sz w:val="21"/>
          <w:szCs w:val="21"/>
        </w:rPr>
      </w:pPr>
    </w:p>
    <w:p w14:paraId="54627DCE" w14:textId="77777777" w:rsidR="00133F17" w:rsidRPr="00536528" w:rsidRDefault="00133F17" w:rsidP="00536528">
      <w:pPr>
        <w:ind w:left="0" w:hanging="2"/>
        <w:jc w:val="center"/>
        <w:rPr>
          <w:rFonts w:ascii="Arial" w:eastAsia="Arial" w:hAnsi="Arial" w:cs="Arial"/>
          <w:sz w:val="21"/>
          <w:szCs w:val="21"/>
        </w:rPr>
      </w:pPr>
    </w:p>
    <w:sectPr w:rsidR="00133F17" w:rsidRPr="00536528" w:rsidSect="00F91FB0">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701" w:header="426" w:footer="40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9D405" w14:textId="77777777" w:rsidR="007651D5" w:rsidRDefault="007651D5">
      <w:pPr>
        <w:spacing w:line="240" w:lineRule="auto"/>
        <w:ind w:left="0" w:hanging="2"/>
      </w:pPr>
      <w:r>
        <w:separator/>
      </w:r>
    </w:p>
  </w:endnote>
  <w:endnote w:type="continuationSeparator" w:id="0">
    <w:p w14:paraId="6573D3CD" w14:textId="77777777" w:rsidR="007651D5" w:rsidRDefault="007651D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1CAF" w14:textId="77777777" w:rsidR="00F91FB0" w:rsidRDefault="00F91FB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B88E6" w14:textId="77777777" w:rsidR="00F91FB0" w:rsidRDefault="00F91FB0">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0449" w14:textId="77777777" w:rsidR="00F91FB0" w:rsidRDefault="00F91FB0">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65313" w14:textId="77777777" w:rsidR="007651D5" w:rsidRDefault="007651D5">
      <w:pPr>
        <w:spacing w:line="240" w:lineRule="auto"/>
        <w:ind w:left="0" w:hanging="2"/>
      </w:pPr>
      <w:r>
        <w:separator/>
      </w:r>
    </w:p>
  </w:footnote>
  <w:footnote w:type="continuationSeparator" w:id="0">
    <w:p w14:paraId="7E4803A5" w14:textId="77777777" w:rsidR="007651D5" w:rsidRDefault="007651D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7D9C" w14:textId="77777777" w:rsidR="00F91FB0" w:rsidRDefault="00F91FB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9592" w14:textId="77777777" w:rsidR="00F91FB0" w:rsidRDefault="00F91FB0">
    <w:pPr>
      <w:pBdr>
        <w:top w:val="nil"/>
        <w:left w:val="nil"/>
        <w:bottom w:val="nil"/>
        <w:right w:val="nil"/>
        <w:between w:val="nil"/>
      </w:pBdr>
      <w:tabs>
        <w:tab w:val="center" w:pos="4680"/>
        <w:tab w:val="right" w:pos="9360"/>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536528">
      <w:rPr>
        <w:rFonts w:ascii="Times New Roman" w:eastAsia="Times New Roman" w:hAnsi="Times New Roman" w:cs="Times New Roman"/>
        <w:noProof/>
      </w:rPr>
      <w:t>28</w:t>
    </w:r>
    <w:r>
      <w:rPr>
        <w:rFonts w:ascii="Times New Roman" w:eastAsia="Times New Roman" w:hAnsi="Times New Roman" w:cs="Times New Roman"/>
      </w:rPr>
      <w:fldChar w:fldCharType="end"/>
    </w:r>
  </w:p>
  <w:p w14:paraId="5B72D43C" w14:textId="77777777" w:rsidR="00F91FB0" w:rsidRDefault="00F91FB0">
    <w:pPr>
      <w:pBdr>
        <w:top w:val="nil"/>
        <w:left w:val="nil"/>
        <w:bottom w:val="nil"/>
        <w:right w:val="nil"/>
        <w:between w:val="nil"/>
      </w:pBdr>
      <w:tabs>
        <w:tab w:val="center" w:pos="4680"/>
        <w:tab w:val="right" w:pos="9360"/>
      </w:tabs>
      <w:spacing w:line="240" w:lineRule="aut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E953F" w14:textId="77777777" w:rsidR="00F91FB0" w:rsidRDefault="00F91FB0">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F17"/>
    <w:rsid w:val="00004BA4"/>
    <w:rsid w:val="000114F7"/>
    <w:rsid w:val="00016385"/>
    <w:rsid w:val="00017AA2"/>
    <w:rsid w:val="00034E06"/>
    <w:rsid w:val="00042EC6"/>
    <w:rsid w:val="000455E5"/>
    <w:rsid w:val="00045816"/>
    <w:rsid w:val="00051E8F"/>
    <w:rsid w:val="00056C80"/>
    <w:rsid w:val="000804FD"/>
    <w:rsid w:val="00096B8E"/>
    <w:rsid w:val="000F4E7C"/>
    <w:rsid w:val="00133F17"/>
    <w:rsid w:val="00153FF2"/>
    <w:rsid w:val="00165832"/>
    <w:rsid w:val="001722DF"/>
    <w:rsid w:val="00173BAC"/>
    <w:rsid w:val="001C2F64"/>
    <w:rsid w:val="001D0291"/>
    <w:rsid w:val="001D7DEA"/>
    <w:rsid w:val="002066B6"/>
    <w:rsid w:val="00221C7E"/>
    <w:rsid w:val="00225011"/>
    <w:rsid w:val="002318A0"/>
    <w:rsid w:val="00237388"/>
    <w:rsid w:val="002435F6"/>
    <w:rsid w:val="00261DB1"/>
    <w:rsid w:val="0029221C"/>
    <w:rsid w:val="002A3820"/>
    <w:rsid w:val="002C7746"/>
    <w:rsid w:val="002D1AED"/>
    <w:rsid w:val="002D7ECD"/>
    <w:rsid w:val="002E446A"/>
    <w:rsid w:val="00303011"/>
    <w:rsid w:val="00310095"/>
    <w:rsid w:val="00311A13"/>
    <w:rsid w:val="003326C4"/>
    <w:rsid w:val="0035572B"/>
    <w:rsid w:val="00370121"/>
    <w:rsid w:val="00373205"/>
    <w:rsid w:val="00395998"/>
    <w:rsid w:val="00396251"/>
    <w:rsid w:val="003C7108"/>
    <w:rsid w:val="003F0ECB"/>
    <w:rsid w:val="003F31FD"/>
    <w:rsid w:val="00417509"/>
    <w:rsid w:val="004242AC"/>
    <w:rsid w:val="004330B4"/>
    <w:rsid w:val="00445A88"/>
    <w:rsid w:val="00446E15"/>
    <w:rsid w:val="0045139E"/>
    <w:rsid w:val="004712B2"/>
    <w:rsid w:val="004843EE"/>
    <w:rsid w:val="00492002"/>
    <w:rsid w:val="004A5EBB"/>
    <w:rsid w:val="004C0EF9"/>
    <w:rsid w:val="004C7C97"/>
    <w:rsid w:val="00500B6F"/>
    <w:rsid w:val="0050130D"/>
    <w:rsid w:val="00505DB2"/>
    <w:rsid w:val="005062F5"/>
    <w:rsid w:val="00524978"/>
    <w:rsid w:val="00532738"/>
    <w:rsid w:val="00534BA0"/>
    <w:rsid w:val="00536528"/>
    <w:rsid w:val="005449B2"/>
    <w:rsid w:val="00563055"/>
    <w:rsid w:val="00586559"/>
    <w:rsid w:val="00595C74"/>
    <w:rsid w:val="005A51F6"/>
    <w:rsid w:val="005C1F90"/>
    <w:rsid w:val="005C25EC"/>
    <w:rsid w:val="005F255C"/>
    <w:rsid w:val="005F6218"/>
    <w:rsid w:val="00603D80"/>
    <w:rsid w:val="00606079"/>
    <w:rsid w:val="006203C4"/>
    <w:rsid w:val="00625F29"/>
    <w:rsid w:val="006266B4"/>
    <w:rsid w:val="00641D31"/>
    <w:rsid w:val="006626E2"/>
    <w:rsid w:val="006C1DDE"/>
    <w:rsid w:val="006D3D82"/>
    <w:rsid w:val="006E22FB"/>
    <w:rsid w:val="006E2AEC"/>
    <w:rsid w:val="00723C55"/>
    <w:rsid w:val="00733788"/>
    <w:rsid w:val="00737642"/>
    <w:rsid w:val="00742214"/>
    <w:rsid w:val="007651D5"/>
    <w:rsid w:val="00773617"/>
    <w:rsid w:val="0077447E"/>
    <w:rsid w:val="00791417"/>
    <w:rsid w:val="00795142"/>
    <w:rsid w:val="007A2650"/>
    <w:rsid w:val="007B3914"/>
    <w:rsid w:val="007B451B"/>
    <w:rsid w:val="007C5176"/>
    <w:rsid w:val="007D3AE3"/>
    <w:rsid w:val="007E5F49"/>
    <w:rsid w:val="0082073C"/>
    <w:rsid w:val="00820827"/>
    <w:rsid w:val="00841434"/>
    <w:rsid w:val="00841A58"/>
    <w:rsid w:val="00867B5F"/>
    <w:rsid w:val="008817EB"/>
    <w:rsid w:val="00883BD6"/>
    <w:rsid w:val="008842DA"/>
    <w:rsid w:val="008B65B5"/>
    <w:rsid w:val="008C0691"/>
    <w:rsid w:val="008D30EA"/>
    <w:rsid w:val="008D5D04"/>
    <w:rsid w:val="008F1A48"/>
    <w:rsid w:val="00901641"/>
    <w:rsid w:val="009350B6"/>
    <w:rsid w:val="00964C2D"/>
    <w:rsid w:val="009668DC"/>
    <w:rsid w:val="0097079B"/>
    <w:rsid w:val="00972F97"/>
    <w:rsid w:val="0097415C"/>
    <w:rsid w:val="00996F2B"/>
    <w:rsid w:val="009B1E15"/>
    <w:rsid w:val="009C6213"/>
    <w:rsid w:val="009C6AC2"/>
    <w:rsid w:val="009E53E0"/>
    <w:rsid w:val="00A25C53"/>
    <w:rsid w:val="00A2653E"/>
    <w:rsid w:val="00A42E2F"/>
    <w:rsid w:val="00A5269C"/>
    <w:rsid w:val="00A817B8"/>
    <w:rsid w:val="00A82F8E"/>
    <w:rsid w:val="00A87C8D"/>
    <w:rsid w:val="00A97C24"/>
    <w:rsid w:val="00AC4E94"/>
    <w:rsid w:val="00B172B9"/>
    <w:rsid w:val="00B27A71"/>
    <w:rsid w:val="00B37321"/>
    <w:rsid w:val="00B40011"/>
    <w:rsid w:val="00B41E0E"/>
    <w:rsid w:val="00B56E6A"/>
    <w:rsid w:val="00B6143A"/>
    <w:rsid w:val="00B66661"/>
    <w:rsid w:val="00B7702B"/>
    <w:rsid w:val="00B96BE0"/>
    <w:rsid w:val="00BA7DC3"/>
    <w:rsid w:val="00C01CE8"/>
    <w:rsid w:val="00C0363C"/>
    <w:rsid w:val="00C043D8"/>
    <w:rsid w:val="00C1486C"/>
    <w:rsid w:val="00C218A5"/>
    <w:rsid w:val="00C553A5"/>
    <w:rsid w:val="00C61D59"/>
    <w:rsid w:val="00C84E3E"/>
    <w:rsid w:val="00CA7116"/>
    <w:rsid w:val="00CC0061"/>
    <w:rsid w:val="00CD164A"/>
    <w:rsid w:val="00CD3F9D"/>
    <w:rsid w:val="00CE6206"/>
    <w:rsid w:val="00D02B2C"/>
    <w:rsid w:val="00D04757"/>
    <w:rsid w:val="00D0633B"/>
    <w:rsid w:val="00D125C0"/>
    <w:rsid w:val="00D17BE5"/>
    <w:rsid w:val="00D33D08"/>
    <w:rsid w:val="00D35BC2"/>
    <w:rsid w:val="00D428CF"/>
    <w:rsid w:val="00D5121E"/>
    <w:rsid w:val="00D52D3D"/>
    <w:rsid w:val="00D54E2A"/>
    <w:rsid w:val="00D64E44"/>
    <w:rsid w:val="00D762AE"/>
    <w:rsid w:val="00D90261"/>
    <w:rsid w:val="00D94A95"/>
    <w:rsid w:val="00DB0AB6"/>
    <w:rsid w:val="00DF2532"/>
    <w:rsid w:val="00E0697E"/>
    <w:rsid w:val="00E368FF"/>
    <w:rsid w:val="00E40AFE"/>
    <w:rsid w:val="00E504AD"/>
    <w:rsid w:val="00E6126B"/>
    <w:rsid w:val="00E66246"/>
    <w:rsid w:val="00E73B33"/>
    <w:rsid w:val="00EA1E80"/>
    <w:rsid w:val="00EB2EAA"/>
    <w:rsid w:val="00ED0DE8"/>
    <w:rsid w:val="00EE2F7F"/>
    <w:rsid w:val="00F13541"/>
    <w:rsid w:val="00F167CA"/>
    <w:rsid w:val="00F16A6E"/>
    <w:rsid w:val="00F31DAD"/>
    <w:rsid w:val="00F32D04"/>
    <w:rsid w:val="00F36A05"/>
    <w:rsid w:val="00F43E16"/>
    <w:rsid w:val="00F5023B"/>
    <w:rsid w:val="00F71F91"/>
    <w:rsid w:val="00F743C3"/>
    <w:rsid w:val="00F8547B"/>
    <w:rsid w:val="00F91FB0"/>
    <w:rsid w:val="00F9710D"/>
    <w:rsid w:val="00FB2538"/>
    <w:rsid w:val="00FB3A62"/>
    <w:rsid w:val="00FC4EC7"/>
    <w:rsid w:val="00FC6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DC5B4"/>
  <w15:docId w15:val="{8EC0A6E6-DFE6-45E5-AE32-B8D9A7F8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vi-VN" w:eastAsia="en-US" w:bidi="ar-SA"/>
      </w:rPr>
    </w:rPrDefault>
    <w:pPrDefault>
      <w:pPr>
        <w:widowControl w:val="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textDirection w:val="btLr"/>
      <w:textAlignment w:val="top"/>
      <w:outlineLvl w:val="0"/>
    </w:pPr>
    <w:rPr>
      <w:color w:val="000000"/>
      <w:position w:val="-1"/>
      <w:lang w:eastAsia="vi-VN"/>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color w:val="auto"/>
      <w:w w:val="100"/>
      <w:position w:val="-1"/>
      <w:u w:val="single"/>
      <w:effect w:val="none"/>
      <w:vertAlign w:val="baseline"/>
      <w:cs w:val="0"/>
      <w:em w:val="none"/>
    </w:rPr>
  </w:style>
  <w:style w:type="character" w:customStyle="1" w:styleId="Bodytext2">
    <w:name w:val="Body text (2)_"/>
    <w:rPr>
      <w:rFonts w:ascii="Times New Roman" w:hAnsi="Times New Roman" w:cs="Times New Roman"/>
      <w:spacing w:val="-3"/>
      <w:w w:val="100"/>
      <w:position w:val="-1"/>
      <w:sz w:val="23"/>
      <w:szCs w:val="23"/>
      <w:u w:val="none"/>
      <w:effect w:val="none"/>
      <w:vertAlign w:val="baseline"/>
      <w:cs w:val="0"/>
      <w:em w:val="none"/>
    </w:rPr>
  </w:style>
  <w:style w:type="character" w:customStyle="1" w:styleId="Bodytext2125pt">
    <w:name w:val="Body text (2) + 12.5 pt"/>
    <w:aliases w:val="Bold,Spacing 0 pt"/>
    <w:rPr>
      <w:rFonts w:ascii="Times New Roman" w:hAnsi="Times New Roman" w:cs="Times New Roman"/>
      <w:b/>
      <w:bCs/>
      <w:spacing w:val="-4"/>
      <w:w w:val="100"/>
      <w:position w:val="-1"/>
      <w:sz w:val="25"/>
      <w:szCs w:val="25"/>
      <w:u w:val="none"/>
      <w:effect w:val="none"/>
      <w:vertAlign w:val="baseline"/>
      <w:cs w:val="0"/>
      <w:em w:val="none"/>
    </w:rPr>
  </w:style>
  <w:style w:type="character" w:customStyle="1" w:styleId="Bodytext">
    <w:name w:val="Body text_"/>
    <w:rPr>
      <w:rFonts w:ascii="Times New Roman" w:hAnsi="Times New Roman" w:cs="Times New Roman"/>
      <w:spacing w:val="-5"/>
      <w:w w:val="100"/>
      <w:position w:val="-1"/>
      <w:sz w:val="26"/>
      <w:szCs w:val="26"/>
      <w:u w:val="none"/>
      <w:effect w:val="none"/>
      <w:vertAlign w:val="baseline"/>
      <w:cs w:val="0"/>
      <w:em w:val="none"/>
    </w:rPr>
  </w:style>
  <w:style w:type="character" w:customStyle="1" w:styleId="Bodytext3">
    <w:name w:val="Body text (3)_"/>
    <w:rPr>
      <w:rFonts w:ascii="Times New Roman" w:hAnsi="Times New Roman" w:cs="Times New Roman"/>
      <w:i/>
      <w:iCs/>
      <w:spacing w:val="-8"/>
      <w:w w:val="100"/>
      <w:position w:val="-1"/>
      <w:sz w:val="26"/>
      <w:szCs w:val="26"/>
      <w:u w:val="none"/>
      <w:effect w:val="none"/>
      <w:vertAlign w:val="baseline"/>
      <w:cs w:val="0"/>
      <w:em w:val="none"/>
    </w:rPr>
  </w:style>
  <w:style w:type="character" w:customStyle="1" w:styleId="Heading20">
    <w:name w:val="Heading #2_"/>
    <w:rPr>
      <w:rFonts w:ascii="Times New Roman" w:hAnsi="Times New Roman" w:cs="Times New Roman"/>
      <w:b/>
      <w:bCs/>
      <w:spacing w:val="-4"/>
      <w:w w:val="100"/>
      <w:position w:val="-1"/>
      <w:sz w:val="25"/>
      <w:szCs w:val="25"/>
      <w:u w:val="none"/>
      <w:effect w:val="none"/>
      <w:vertAlign w:val="baseline"/>
      <w:cs w:val="0"/>
      <w:em w:val="none"/>
    </w:rPr>
  </w:style>
  <w:style w:type="character" w:customStyle="1" w:styleId="Bodytext4">
    <w:name w:val="Body text (4)_"/>
    <w:rPr>
      <w:rFonts w:ascii="Times New Roman" w:hAnsi="Times New Roman" w:cs="Times New Roman"/>
      <w:b/>
      <w:bCs/>
      <w:spacing w:val="-4"/>
      <w:w w:val="100"/>
      <w:position w:val="-1"/>
      <w:sz w:val="25"/>
      <w:szCs w:val="25"/>
      <w:u w:val="none"/>
      <w:effect w:val="none"/>
      <w:vertAlign w:val="baseline"/>
      <w:cs w:val="0"/>
      <w:em w:val="none"/>
    </w:rPr>
  </w:style>
  <w:style w:type="character" w:customStyle="1" w:styleId="Bodytext3NotItalic">
    <w:name w:val="Body text (3) + Not Italic"/>
    <w:aliases w:val="Spacing 0 pt12"/>
    <w:rPr>
      <w:rFonts w:ascii="Times New Roman" w:hAnsi="Times New Roman" w:cs="Times New Roman"/>
      <w:i/>
      <w:iCs/>
      <w:spacing w:val="-5"/>
      <w:w w:val="100"/>
      <w:position w:val="-1"/>
      <w:sz w:val="26"/>
      <w:szCs w:val="26"/>
      <w:u w:val="none"/>
      <w:effect w:val="none"/>
      <w:vertAlign w:val="baseline"/>
      <w:cs w:val="0"/>
      <w:em w:val="none"/>
    </w:rPr>
  </w:style>
  <w:style w:type="character" w:customStyle="1" w:styleId="Bodytext5">
    <w:name w:val="Body text (5)_"/>
    <w:rPr>
      <w:rFonts w:ascii="Arial" w:hAnsi="Arial" w:cs="Arial"/>
      <w:b/>
      <w:bCs/>
      <w:i/>
      <w:iCs/>
      <w:spacing w:val="2"/>
      <w:w w:val="100"/>
      <w:position w:val="-1"/>
      <w:sz w:val="23"/>
      <w:szCs w:val="23"/>
      <w:u w:val="none"/>
      <w:effect w:val="none"/>
      <w:vertAlign w:val="baseline"/>
      <w:cs w:val="0"/>
      <w:em w:val="none"/>
    </w:rPr>
  </w:style>
  <w:style w:type="character" w:customStyle="1" w:styleId="Bodytext5Spacing0pt">
    <w:name w:val="Body text (5) + Spacing 0 pt"/>
    <w:rPr>
      <w:rFonts w:ascii="Arial" w:hAnsi="Arial" w:cs="Arial"/>
      <w:b/>
      <w:bCs/>
      <w:i/>
      <w:iCs/>
      <w:noProof/>
      <w:spacing w:val="0"/>
      <w:w w:val="100"/>
      <w:position w:val="-1"/>
      <w:sz w:val="23"/>
      <w:szCs w:val="23"/>
      <w:u w:val="none"/>
      <w:effect w:val="none"/>
      <w:vertAlign w:val="baseline"/>
      <w:cs w:val="0"/>
      <w:em w:val="none"/>
    </w:rPr>
  </w:style>
  <w:style w:type="character" w:customStyle="1" w:styleId="Bodytext4145pt">
    <w:name w:val="Body text (4) + 14.5 pt"/>
    <w:aliases w:val="Spacing 0 pt11"/>
    <w:rPr>
      <w:rFonts w:ascii="Times New Roman" w:hAnsi="Times New Roman" w:cs="Times New Roman"/>
      <w:b/>
      <w:bCs/>
      <w:spacing w:val="-3"/>
      <w:w w:val="100"/>
      <w:position w:val="-1"/>
      <w:sz w:val="29"/>
      <w:szCs w:val="29"/>
      <w:u w:val="none"/>
      <w:effect w:val="none"/>
      <w:vertAlign w:val="baseline"/>
      <w:cs w:val="0"/>
      <w:em w:val="none"/>
    </w:rPr>
  </w:style>
  <w:style w:type="character" w:customStyle="1" w:styleId="Bodytext4NotBold">
    <w:name w:val="Body text (4) + Not Bold"/>
    <w:aliases w:val="Italic,Spacing 0 pt10"/>
    <w:rPr>
      <w:rFonts w:ascii="Times New Roman" w:hAnsi="Times New Roman" w:cs="Times New Roman"/>
      <w:b/>
      <w:bCs/>
      <w:i/>
      <w:iCs/>
      <w:spacing w:val="7"/>
      <w:w w:val="100"/>
      <w:position w:val="-1"/>
      <w:sz w:val="25"/>
      <w:szCs w:val="25"/>
      <w:u w:val="none"/>
      <w:effect w:val="none"/>
      <w:vertAlign w:val="baseline"/>
      <w:cs w:val="0"/>
      <w:em w:val="none"/>
    </w:rPr>
  </w:style>
  <w:style w:type="character" w:customStyle="1" w:styleId="Headerorfooter">
    <w:name w:val="Header or footer_"/>
    <w:rPr>
      <w:rFonts w:ascii="Times New Roman" w:hAnsi="Times New Roman" w:cs="Times New Roman"/>
      <w:w w:val="100"/>
      <w:position w:val="-1"/>
      <w:sz w:val="22"/>
      <w:szCs w:val="22"/>
      <w:u w:val="none"/>
      <w:effect w:val="none"/>
      <w:vertAlign w:val="baseline"/>
      <w:cs w:val="0"/>
      <w:em w:val="none"/>
    </w:rPr>
  </w:style>
  <w:style w:type="character" w:customStyle="1" w:styleId="BodytextItalic">
    <w:name w:val="Body text + Italic"/>
    <w:aliases w:val="Spacing 0 pt9"/>
    <w:rPr>
      <w:rFonts w:ascii="Times New Roman" w:hAnsi="Times New Roman" w:cs="Times New Roman"/>
      <w:i/>
      <w:iCs/>
      <w:spacing w:val="-8"/>
      <w:w w:val="100"/>
      <w:position w:val="-1"/>
      <w:sz w:val="26"/>
      <w:szCs w:val="26"/>
      <w:u w:val="none"/>
      <w:effect w:val="none"/>
      <w:vertAlign w:val="baseline"/>
      <w:cs w:val="0"/>
      <w:em w:val="none"/>
    </w:rPr>
  </w:style>
  <w:style w:type="character" w:customStyle="1" w:styleId="Bodytext6">
    <w:name w:val="Body text (6)_"/>
    <w:rPr>
      <w:rFonts w:ascii="Times New Roman" w:hAnsi="Times New Roman" w:cs="Times New Roman"/>
      <w:spacing w:val="-3"/>
      <w:w w:val="100"/>
      <w:position w:val="-1"/>
      <w:sz w:val="22"/>
      <w:szCs w:val="22"/>
      <w:u w:val="none"/>
      <w:effect w:val="none"/>
      <w:vertAlign w:val="baseline"/>
      <w:cs w:val="0"/>
      <w:em w:val="none"/>
    </w:rPr>
  </w:style>
  <w:style w:type="character" w:customStyle="1" w:styleId="Bodytext145pt">
    <w:name w:val="Body text + 14.5 pt"/>
    <w:aliases w:val="Bold2,Spacing 0 pt8"/>
    <w:rPr>
      <w:rFonts w:ascii="Times New Roman" w:hAnsi="Times New Roman" w:cs="Times New Roman"/>
      <w:b/>
      <w:bCs/>
      <w:spacing w:val="-3"/>
      <w:w w:val="100"/>
      <w:position w:val="-1"/>
      <w:sz w:val="29"/>
      <w:szCs w:val="29"/>
      <w:u w:val="none"/>
      <w:effect w:val="none"/>
      <w:vertAlign w:val="baseline"/>
      <w:cs w:val="0"/>
      <w:em w:val="none"/>
    </w:rPr>
  </w:style>
  <w:style w:type="character" w:customStyle="1" w:styleId="Bodytext145pt1">
    <w:name w:val="Body text + 14.5 pt1"/>
    <w:aliases w:val="Bold1,Spacing 0 pt7"/>
    <w:rPr>
      <w:rFonts w:ascii="Times New Roman" w:hAnsi="Times New Roman" w:cs="Times New Roman"/>
      <w:b/>
      <w:bCs/>
      <w:spacing w:val="-2"/>
      <w:w w:val="100"/>
      <w:position w:val="-1"/>
      <w:sz w:val="29"/>
      <w:szCs w:val="29"/>
      <w:u w:val="none"/>
      <w:effect w:val="none"/>
      <w:vertAlign w:val="baseline"/>
      <w:cs w:val="0"/>
      <w:em w:val="none"/>
    </w:rPr>
  </w:style>
  <w:style w:type="character" w:customStyle="1" w:styleId="Headerorfooter2">
    <w:name w:val="Header or footer (2)_"/>
    <w:rPr>
      <w:rFonts w:ascii="Batang" w:eastAsia="Batang" w:cs="Batang"/>
      <w:noProof/>
      <w:w w:val="100"/>
      <w:position w:val="-1"/>
      <w:sz w:val="22"/>
      <w:szCs w:val="22"/>
      <w:u w:val="none"/>
      <w:effect w:val="none"/>
      <w:vertAlign w:val="baseline"/>
      <w:cs w:val="0"/>
      <w:em w:val="none"/>
    </w:rPr>
  </w:style>
  <w:style w:type="character" w:customStyle="1" w:styleId="BodytextGeorgia">
    <w:name w:val="Body text + Georgia"/>
    <w:aliases w:val="12.5 pt,Spacing 0 pt6"/>
    <w:rPr>
      <w:rFonts w:ascii="Georgia" w:hAnsi="Georgia" w:cs="Georgia"/>
      <w:noProof/>
      <w:spacing w:val="0"/>
      <w:w w:val="100"/>
      <w:position w:val="-1"/>
      <w:sz w:val="25"/>
      <w:szCs w:val="25"/>
      <w:u w:val="none"/>
      <w:effect w:val="none"/>
      <w:vertAlign w:val="baseline"/>
      <w:cs w:val="0"/>
      <w:em w:val="none"/>
    </w:rPr>
  </w:style>
  <w:style w:type="character" w:customStyle="1" w:styleId="Heading30">
    <w:name w:val="Heading #3_"/>
    <w:rPr>
      <w:rFonts w:ascii="Times New Roman" w:hAnsi="Times New Roman" w:cs="Times New Roman"/>
      <w:spacing w:val="-5"/>
      <w:w w:val="100"/>
      <w:position w:val="-1"/>
      <w:sz w:val="26"/>
      <w:szCs w:val="26"/>
      <w:u w:val="none"/>
      <w:effect w:val="none"/>
      <w:vertAlign w:val="baseline"/>
      <w:cs w:val="0"/>
      <w:em w:val="none"/>
    </w:rPr>
  </w:style>
  <w:style w:type="character" w:customStyle="1" w:styleId="Bodytext4115pt">
    <w:name w:val="Body text (4) + 11.5 pt"/>
    <w:aliases w:val="Not Bold,Spacing 0 pt5"/>
    <w:rPr>
      <w:rFonts w:ascii="Times New Roman" w:hAnsi="Times New Roman" w:cs="Times New Roman"/>
      <w:b/>
      <w:bCs/>
      <w:spacing w:val="-3"/>
      <w:w w:val="100"/>
      <w:position w:val="-1"/>
      <w:sz w:val="23"/>
      <w:szCs w:val="23"/>
      <w:u w:val="none"/>
      <w:effect w:val="none"/>
      <w:vertAlign w:val="baseline"/>
      <w:cs w:val="0"/>
      <w:em w:val="none"/>
    </w:rPr>
  </w:style>
  <w:style w:type="character" w:customStyle="1" w:styleId="Heading10">
    <w:name w:val="Heading #1_"/>
    <w:rPr>
      <w:rFonts w:ascii="Times New Roman" w:hAnsi="Times New Roman" w:cs="Times New Roman"/>
      <w:i/>
      <w:iCs/>
      <w:spacing w:val="45"/>
      <w:w w:val="100"/>
      <w:position w:val="-1"/>
      <w:sz w:val="25"/>
      <w:szCs w:val="25"/>
      <w:u w:val="none"/>
      <w:effect w:val="none"/>
      <w:vertAlign w:val="baseline"/>
      <w:cs w:val="0"/>
      <w:em w:val="none"/>
    </w:rPr>
  </w:style>
  <w:style w:type="character" w:customStyle="1" w:styleId="Heading1Bold">
    <w:name w:val="Heading #1 + Bold"/>
    <w:aliases w:val="Not Italic,Spacing 0 pt4"/>
    <w:rPr>
      <w:rFonts w:ascii="Times New Roman" w:hAnsi="Times New Roman" w:cs="Times New Roman"/>
      <w:b/>
      <w:bCs/>
      <w:i/>
      <w:iCs/>
      <w:spacing w:val="-4"/>
      <w:w w:val="100"/>
      <w:position w:val="-1"/>
      <w:sz w:val="25"/>
      <w:szCs w:val="25"/>
      <w:u w:val="none"/>
      <w:effect w:val="none"/>
      <w:vertAlign w:val="baseline"/>
      <w:cs w:val="0"/>
      <w:em w:val="none"/>
    </w:rPr>
  </w:style>
  <w:style w:type="character" w:customStyle="1" w:styleId="Bodytext7">
    <w:name w:val="Body text (7)_"/>
    <w:rPr>
      <w:rFonts w:ascii="Times New Roman" w:hAnsi="Times New Roman" w:cs="Times New Roman"/>
      <w:spacing w:val="2"/>
      <w:w w:val="100"/>
      <w:position w:val="-1"/>
      <w:sz w:val="13"/>
      <w:szCs w:val="13"/>
      <w:u w:val="none"/>
      <w:effect w:val="none"/>
      <w:vertAlign w:val="baseline"/>
      <w:cs w:val="0"/>
      <w:em w:val="none"/>
    </w:rPr>
  </w:style>
  <w:style w:type="character" w:customStyle="1" w:styleId="Bodytext213pt">
    <w:name w:val="Body text (2) + 13 pt"/>
    <w:aliases w:val="Spacing 0 pt3"/>
    <w:rPr>
      <w:rFonts w:ascii="Times New Roman" w:hAnsi="Times New Roman" w:cs="Times New Roman"/>
      <w:spacing w:val="-5"/>
      <w:w w:val="100"/>
      <w:position w:val="-1"/>
      <w:sz w:val="26"/>
      <w:szCs w:val="26"/>
      <w:u w:val="none"/>
      <w:effect w:val="none"/>
      <w:vertAlign w:val="baseline"/>
      <w:cs w:val="0"/>
      <w:em w:val="none"/>
    </w:rPr>
  </w:style>
  <w:style w:type="character" w:customStyle="1" w:styleId="Heading40">
    <w:name w:val="Heading #4_"/>
    <w:rPr>
      <w:rFonts w:ascii="Times New Roman" w:hAnsi="Times New Roman" w:cs="Times New Roman"/>
      <w:b/>
      <w:bCs/>
      <w:spacing w:val="-4"/>
      <w:w w:val="100"/>
      <w:position w:val="-1"/>
      <w:sz w:val="25"/>
      <w:szCs w:val="25"/>
      <w:u w:val="none"/>
      <w:effect w:val="none"/>
      <w:vertAlign w:val="baseline"/>
      <w:cs w:val="0"/>
      <w:em w:val="none"/>
    </w:rPr>
  </w:style>
  <w:style w:type="character" w:customStyle="1" w:styleId="Headerorfooter3">
    <w:name w:val="Header or footer (3)_"/>
    <w:rPr>
      <w:rFonts w:ascii="Consolas" w:hAnsi="Consolas" w:cs="Consolas"/>
      <w:b/>
      <w:bCs/>
      <w:i/>
      <w:iCs/>
      <w:noProof/>
      <w:w w:val="100"/>
      <w:position w:val="-1"/>
      <w:sz w:val="11"/>
      <w:szCs w:val="11"/>
      <w:u w:val="none"/>
      <w:effect w:val="none"/>
      <w:vertAlign w:val="baseline"/>
      <w:cs w:val="0"/>
      <w:em w:val="none"/>
    </w:rPr>
  </w:style>
  <w:style w:type="character" w:customStyle="1" w:styleId="Bodytext4Arial">
    <w:name w:val="Body text (4) + Arial"/>
    <w:aliases w:val="17 pt,Spacing 0 pt2"/>
    <w:rPr>
      <w:rFonts w:ascii="Arial" w:hAnsi="Arial" w:cs="Arial"/>
      <w:b/>
      <w:bCs/>
      <w:spacing w:val="0"/>
      <w:w w:val="100"/>
      <w:position w:val="-1"/>
      <w:sz w:val="34"/>
      <w:szCs w:val="34"/>
      <w:u w:val="none"/>
      <w:effect w:val="none"/>
      <w:vertAlign w:val="baseline"/>
      <w:cs w:val="0"/>
      <w:em w:val="none"/>
    </w:rPr>
  </w:style>
  <w:style w:type="character" w:customStyle="1" w:styleId="Headerorfooter5">
    <w:name w:val="Header or footer (5)_"/>
    <w:rPr>
      <w:rFonts w:ascii="Consolas" w:hAnsi="Consolas" w:cs="Consolas"/>
      <w:noProof/>
      <w:w w:val="100"/>
      <w:position w:val="-1"/>
      <w:sz w:val="13"/>
      <w:szCs w:val="13"/>
      <w:u w:val="none"/>
      <w:effect w:val="none"/>
      <w:vertAlign w:val="baseline"/>
      <w:cs w:val="0"/>
      <w:em w:val="none"/>
    </w:rPr>
  </w:style>
  <w:style w:type="character" w:customStyle="1" w:styleId="Headerorfooter4">
    <w:name w:val="Header or footer (4)_"/>
    <w:rPr>
      <w:rFonts w:ascii="Consolas" w:hAnsi="Consolas" w:cs="Consolas"/>
      <w:noProof/>
      <w:w w:val="100"/>
      <w:position w:val="-1"/>
      <w:sz w:val="17"/>
      <w:szCs w:val="17"/>
      <w:u w:val="none"/>
      <w:effect w:val="none"/>
      <w:vertAlign w:val="baseline"/>
      <w:cs w:val="0"/>
      <w:em w:val="none"/>
    </w:rPr>
  </w:style>
  <w:style w:type="character" w:customStyle="1" w:styleId="Bodytext8">
    <w:name w:val="Body text (8)_"/>
    <w:rPr>
      <w:rFonts w:ascii="Times New Roman" w:hAnsi="Times New Roman" w:cs="Times New Roman"/>
      <w:b/>
      <w:bCs/>
      <w:w w:val="100"/>
      <w:position w:val="-1"/>
      <w:sz w:val="22"/>
      <w:szCs w:val="22"/>
      <w:u w:val="none"/>
      <w:effect w:val="none"/>
      <w:vertAlign w:val="baseline"/>
      <w:cs w:val="0"/>
      <w:em w:val="none"/>
    </w:rPr>
  </w:style>
  <w:style w:type="character" w:customStyle="1" w:styleId="Bodytext6Bold">
    <w:name w:val="Body text (6) + Bold"/>
    <w:aliases w:val="Spacing 0 pt1"/>
    <w:rPr>
      <w:rFonts w:ascii="Times New Roman" w:hAnsi="Times New Roman" w:cs="Times New Roman"/>
      <w:b/>
      <w:bCs/>
      <w:spacing w:val="-3"/>
      <w:w w:val="100"/>
      <w:position w:val="-1"/>
      <w:sz w:val="22"/>
      <w:szCs w:val="22"/>
      <w:u w:val="none"/>
      <w:effect w:val="none"/>
      <w:vertAlign w:val="baseline"/>
      <w:cs w:val="0"/>
      <w:em w:val="none"/>
    </w:rPr>
  </w:style>
  <w:style w:type="paragraph" w:customStyle="1" w:styleId="Bodytext20">
    <w:name w:val="Body text (2)"/>
    <w:basedOn w:val="Normal"/>
    <w:pPr>
      <w:shd w:val="clear" w:color="auto" w:fill="FFFFFF"/>
      <w:spacing w:line="269" w:lineRule="atLeast"/>
      <w:jc w:val="center"/>
    </w:pPr>
    <w:rPr>
      <w:rFonts w:ascii="Times New Roman" w:eastAsia="Times New Roman" w:hAnsi="Times New Roman" w:cs="Times New Roman"/>
      <w:color w:val="auto"/>
      <w:spacing w:val="-3"/>
      <w:sz w:val="23"/>
      <w:szCs w:val="23"/>
      <w:lang w:eastAsia="en-US"/>
    </w:rPr>
  </w:style>
  <w:style w:type="paragraph" w:styleId="BodyText0">
    <w:name w:val="Body Text"/>
    <w:basedOn w:val="Normal"/>
    <w:pPr>
      <w:shd w:val="clear" w:color="auto" w:fill="FFFFFF"/>
      <w:spacing w:line="240" w:lineRule="atLeast"/>
    </w:pPr>
    <w:rPr>
      <w:rFonts w:ascii="Times New Roman" w:eastAsia="Times New Roman" w:hAnsi="Times New Roman" w:cs="Times New Roman"/>
      <w:color w:val="auto"/>
      <w:spacing w:val="-5"/>
      <w:sz w:val="26"/>
      <w:szCs w:val="26"/>
      <w:lang w:eastAsia="en-US"/>
    </w:rPr>
  </w:style>
  <w:style w:type="paragraph" w:customStyle="1" w:styleId="Bodytext30">
    <w:name w:val="Body text (3)"/>
    <w:basedOn w:val="Normal"/>
    <w:pPr>
      <w:shd w:val="clear" w:color="auto" w:fill="FFFFFF"/>
      <w:spacing w:line="240" w:lineRule="atLeast"/>
    </w:pPr>
    <w:rPr>
      <w:rFonts w:ascii="Times New Roman" w:eastAsia="Times New Roman" w:hAnsi="Times New Roman" w:cs="Times New Roman"/>
      <w:i/>
      <w:iCs/>
      <w:color w:val="auto"/>
      <w:spacing w:val="-8"/>
      <w:sz w:val="26"/>
      <w:szCs w:val="26"/>
      <w:lang w:eastAsia="en-US"/>
    </w:rPr>
  </w:style>
  <w:style w:type="paragraph" w:customStyle="1" w:styleId="Heading21">
    <w:name w:val="Heading #2"/>
    <w:basedOn w:val="Normal"/>
    <w:pPr>
      <w:shd w:val="clear" w:color="auto" w:fill="FFFFFF"/>
      <w:spacing w:line="240" w:lineRule="atLeast"/>
      <w:jc w:val="right"/>
      <w:outlineLvl w:val="1"/>
    </w:pPr>
    <w:rPr>
      <w:rFonts w:ascii="Times New Roman" w:eastAsia="Times New Roman" w:hAnsi="Times New Roman" w:cs="Times New Roman"/>
      <w:b/>
      <w:bCs/>
      <w:color w:val="auto"/>
      <w:spacing w:val="-4"/>
      <w:sz w:val="25"/>
      <w:szCs w:val="25"/>
      <w:lang w:eastAsia="en-US"/>
    </w:rPr>
  </w:style>
  <w:style w:type="paragraph" w:customStyle="1" w:styleId="Bodytext40">
    <w:name w:val="Body text (4)"/>
    <w:basedOn w:val="Normal"/>
    <w:pPr>
      <w:shd w:val="clear" w:color="auto" w:fill="FFFFFF"/>
      <w:spacing w:after="480" w:line="317" w:lineRule="atLeast"/>
      <w:jc w:val="center"/>
    </w:pPr>
    <w:rPr>
      <w:rFonts w:ascii="Times New Roman" w:eastAsia="Times New Roman" w:hAnsi="Times New Roman" w:cs="Times New Roman"/>
      <w:b/>
      <w:bCs/>
      <w:color w:val="auto"/>
      <w:spacing w:val="-4"/>
      <w:sz w:val="25"/>
      <w:szCs w:val="25"/>
      <w:lang w:eastAsia="en-US"/>
    </w:rPr>
  </w:style>
  <w:style w:type="paragraph" w:customStyle="1" w:styleId="Bodytext50">
    <w:name w:val="Body text (5)"/>
    <w:basedOn w:val="Normal"/>
    <w:pPr>
      <w:shd w:val="clear" w:color="auto" w:fill="FFFFFF"/>
      <w:spacing w:before="120" w:after="120" w:line="240" w:lineRule="atLeast"/>
    </w:pPr>
    <w:rPr>
      <w:rFonts w:ascii="Arial" w:eastAsia="Times New Roman" w:hAnsi="Arial" w:cs="Arial"/>
      <w:b/>
      <w:bCs/>
      <w:i/>
      <w:iCs/>
      <w:color w:val="auto"/>
      <w:spacing w:val="2"/>
      <w:sz w:val="23"/>
      <w:szCs w:val="23"/>
      <w:lang w:eastAsia="en-US"/>
    </w:rPr>
  </w:style>
  <w:style w:type="paragraph" w:customStyle="1" w:styleId="Headerorfooter0">
    <w:name w:val="Header or footer"/>
    <w:basedOn w:val="Normal"/>
    <w:pPr>
      <w:shd w:val="clear" w:color="auto" w:fill="FFFFFF"/>
      <w:spacing w:line="240" w:lineRule="atLeast"/>
    </w:pPr>
    <w:rPr>
      <w:rFonts w:ascii="Times New Roman" w:eastAsia="Times New Roman" w:hAnsi="Times New Roman" w:cs="Times New Roman"/>
      <w:color w:val="auto"/>
      <w:sz w:val="22"/>
      <w:szCs w:val="22"/>
      <w:lang w:eastAsia="en-US"/>
    </w:rPr>
  </w:style>
  <w:style w:type="paragraph" w:customStyle="1" w:styleId="Bodytext60">
    <w:name w:val="Body text (6)"/>
    <w:basedOn w:val="Normal"/>
    <w:pPr>
      <w:shd w:val="clear" w:color="auto" w:fill="FFFFFF"/>
      <w:spacing w:line="240" w:lineRule="atLeast"/>
      <w:jc w:val="center"/>
    </w:pPr>
    <w:rPr>
      <w:rFonts w:ascii="Times New Roman" w:eastAsia="Times New Roman" w:hAnsi="Times New Roman" w:cs="Times New Roman"/>
      <w:color w:val="auto"/>
      <w:spacing w:val="-3"/>
      <w:sz w:val="22"/>
      <w:szCs w:val="22"/>
      <w:lang w:eastAsia="en-US"/>
    </w:rPr>
  </w:style>
  <w:style w:type="paragraph" w:customStyle="1" w:styleId="Headerorfooter20">
    <w:name w:val="Header or footer (2)"/>
    <w:basedOn w:val="Normal"/>
    <w:pPr>
      <w:shd w:val="clear" w:color="auto" w:fill="FFFFFF"/>
      <w:spacing w:line="240" w:lineRule="atLeast"/>
    </w:pPr>
    <w:rPr>
      <w:rFonts w:ascii="Batang" w:eastAsia="Batang" w:cs="Batang"/>
      <w:noProof/>
      <w:color w:val="auto"/>
      <w:sz w:val="22"/>
      <w:szCs w:val="22"/>
    </w:rPr>
  </w:style>
  <w:style w:type="paragraph" w:customStyle="1" w:styleId="Heading31">
    <w:name w:val="Heading #3"/>
    <w:basedOn w:val="Normal"/>
    <w:pPr>
      <w:shd w:val="clear" w:color="auto" w:fill="FFFFFF"/>
      <w:spacing w:before="60" w:after="60" w:line="240" w:lineRule="atLeast"/>
      <w:outlineLvl w:val="2"/>
    </w:pPr>
    <w:rPr>
      <w:rFonts w:ascii="Times New Roman" w:eastAsia="Times New Roman" w:hAnsi="Times New Roman" w:cs="Times New Roman"/>
      <w:color w:val="auto"/>
      <w:spacing w:val="-5"/>
      <w:sz w:val="26"/>
      <w:szCs w:val="26"/>
      <w:lang w:eastAsia="en-US"/>
    </w:rPr>
  </w:style>
  <w:style w:type="paragraph" w:customStyle="1" w:styleId="Heading11">
    <w:name w:val="Heading #1"/>
    <w:basedOn w:val="Normal"/>
    <w:pPr>
      <w:shd w:val="clear" w:color="auto" w:fill="FFFFFF"/>
      <w:spacing w:before="180" w:after="60" w:line="240" w:lineRule="atLeast"/>
      <w:jc w:val="both"/>
    </w:pPr>
    <w:rPr>
      <w:rFonts w:ascii="Times New Roman" w:eastAsia="Times New Roman" w:hAnsi="Times New Roman" w:cs="Times New Roman"/>
      <w:i/>
      <w:iCs/>
      <w:color w:val="auto"/>
      <w:spacing w:val="45"/>
      <w:sz w:val="25"/>
      <w:szCs w:val="25"/>
      <w:lang w:eastAsia="en-US"/>
    </w:rPr>
  </w:style>
  <w:style w:type="paragraph" w:customStyle="1" w:styleId="Bodytext70">
    <w:name w:val="Body text (7)"/>
    <w:basedOn w:val="Normal"/>
    <w:pPr>
      <w:shd w:val="clear" w:color="auto" w:fill="FFFFFF"/>
      <w:spacing w:before="60" w:after="180" w:line="240" w:lineRule="atLeast"/>
    </w:pPr>
    <w:rPr>
      <w:rFonts w:ascii="Times New Roman" w:eastAsia="Times New Roman" w:hAnsi="Times New Roman" w:cs="Times New Roman"/>
      <w:color w:val="auto"/>
      <w:spacing w:val="2"/>
      <w:sz w:val="13"/>
      <w:szCs w:val="13"/>
      <w:lang w:eastAsia="en-US"/>
    </w:rPr>
  </w:style>
  <w:style w:type="paragraph" w:customStyle="1" w:styleId="Heading41">
    <w:name w:val="Heading #4"/>
    <w:basedOn w:val="Normal"/>
    <w:pPr>
      <w:shd w:val="clear" w:color="auto" w:fill="FFFFFF"/>
      <w:spacing w:before="540" w:line="427" w:lineRule="atLeast"/>
      <w:outlineLvl w:val="3"/>
    </w:pPr>
    <w:rPr>
      <w:rFonts w:ascii="Times New Roman" w:eastAsia="Times New Roman" w:hAnsi="Times New Roman" w:cs="Times New Roman"/>
      <w:b/>
      <w:bCs/>
      <w:color w:val="auto"/>
      <w:spacing w:val="-4"/>
      <w:sz w:val="25"/>
      <w:szCs w:val="25"/>
      <w:lang w:eastAsia="en-US"/>
    </w:rPr>
  </w:style>
  <w:style w:type="paragraph" w:customStyle="1" w:styleId="Headerorfooter30">
    <w:name w:val="Header or footer (3)"/>
    <w:basedOn w:val="Normal"/>
    <w:pPr>
      <w:shd w:val="clear" w:color="auto" w:fill="FFFFFF"/>
      <w:spacing w:line="240" w:lineRule="atLeast"/>
    </w:pPr>
    <w:rPr>
      <w:rFonts w:ascii="Consolas" w:eastAsia="Times New Roman" w:hAnsi="Consolas" w:cs="Consolas"/>
      <w:b/>
      <w:bCs/>
      <w:i/>
      <w:iCs/>
      <w:noProof/>
      <w:color w:val="auto"/>
      <w:sz w:val="11"/>
      <w:szCs w:val="11"/>
    </w:rPr>
  </w:style>
  <w:style w:type="paragraph" w:customStyle="1" w:styleId="Headerorfooter50">
    <w:name w:val="Header or footer (5)"/>
    <w:basedOn w:val="Normal"/>
    <w:pPr>
      <w:shd w:val="clear" w:color="auto" w:fill="FFFFFF"/>
      <w:spacing w:line="240" w:lineRule="atLeast"/>
    </w:pPr>
    <w:rPr>
      <w:rFonts w:ascii="Consolas" w:eastAsia="Times New Roman" w:hAnsi="Consolas" w:cs="Consolas"/>
      <w:noProof/>
      <w:color w:val="auto"/>
      <w:sz w:val="13"/>
      <w:szCs w:val="13"/>
    </w:rPr>
  </w:style>
  <w:style w:type="paragraph" w:customStyle="1" w:styleId="Headerorfooter40">
    <w:name w:val="Header or footer (4)"/>
    <w:basedOn w:val="Normal"/>
    <w:pPr>
      <w:shd w:val="clear" w:color="auto" w:fill="FFFFFF"/>
      <w:spacing w:line="240" w:lineRule="atLeast"/>
    </w:pPr>
    <w:rPr>
      <w:rFonts w:ascii="Consolas" w:eastAsia="Times New Roman" w:hAnsi="Consolas" w:cs="Consolas"/>
      <w:noProof/>
      <w:color w:val="auto"/>
      <w:sz w:val="17"/>
      <w:szCs w:val="17"/>
    </w:rPr>
  </w:style>
  <w:style w:type="paragraph" w:customStyle="1" w:styleId="Bodytext80">
    <w:name w:val="Body text (8)"/>
    <w:basedOn w:val="Normal"/>
    <w:pPr>
      <w:shd w:val="clear" w:color="auto" w:fill="FFFFFF"/>
      <w:spacing w:before="300" w:line="269" w:lineRule="atLeast"/>
      <w:jc w:val="both"/>
    </w:pPr>
    <w:rPr>
      <w:rFonts w:ascii="Times New Roman" w:eastAsia="Times New Roman" w:hAnsi="Times New Roman" w:cs="Times New Roman"/>
      <w:b/>
      <w:bCs/>
      <w:color w:val="auto"/>
      <w:sz w:val="22"/>
      <w:szCs w:val="22"/>
      <w:lang w:eastAsia="en-US"/>
    </w:rPr>
  </w:style>
  <w:style w:type="paragraph" w:customStyle="1" w:styleId="CharCharCharCharCharCharChar">
    <w:name w:val="Char Char Char Char Char Char Char"/>
    <w:pPr>
      <w:tabs>
        <w:tab w:val="left" w:pos="1152"/>
      </w:tabs>
      <w:suppressAutoHyphens/>
      <w:spacing w:before="120" w:after="120" w:line="312" w:lineRule="auto"/>
      <w:ind w:leftChars="-1" w:left="-1" w:hangingChars="1"/>
      <w:textDirection w:val="btLr"/>
      <w:textAlignment w:val="top"/>
      <w:outlineLvl w:val="0"/>
    </w:pPr>
    <w:rPr>
      <w:rFonts w:ascii="Arial" w:eastAsia="Times New Roman" w:hAnsi="Arial" w:cs="Arial"/>
      <w:position w:val="-1"/>
      <w:sz w:val="26"/>
      <w:szCs w:val="26"/>
      <w:lang w:val="en-US"/>
    </w:rPr>
  </w:style>
  <w:style w:type="table" w:styleId="TableGrid">
    <w:name w:val="Table Grid"/>
    <w:basedOn w:val="TableNormal"/>
    <w:pPr>
      <w:suppressAutoHyphens/>
      <w:spacing w:line="1" w:lineRule="atLeast"/>
      <w:ind w:leftChars="-1" w:left="-1" w:hangingChars="1"/>
      <w:textDirection w:val="btLr"/>
      <w:textAlignment w:val="top"/>
      <w:outlineLvl w:val="0"/>
    </w:pPr>
    <w:rPr>
      <w:rFonts w:ascii="Times New Roman" w:eastAsia="Times New Roman" w:hAnsi="Times New Roman"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pPr>
      <w:shd w:val="clear" w:color="auto" w:fill="000080"/>
    </w:pPr>
    <w:rPr>
      <w:rFonts w:ascii="Tahoma" w:eastAsia="Times New Roman" w:hAnsi="Tahoma" w:cs="Tahoma"/>
      <w:sz w:val="20"/>
      <w:szCs w:val="20"/>
    </w:rPr>
  </w:style>
  <w:style w:type="paragraph" w:styleId="Header">
    <w:name w:val="header"/>
    <w:basedOn w:val="Normal"/>
    <w:qFormat/>
    <w:pPr>
      <w:tabs>
        <w:tab w:val="center" w:pos="4680"/>
        <w:tab w:val="right" w:pos="9360"/>
      </w:tabs>
    </w:pPr>
  </w:style>
  <w:style w:type="character" w:customStyle="1" w:styleId="HeaderChar">
    <w:name w:val="Header Char"/>
    <w:rPr>
      <w:color w:val="000000"/>
      <w:w w:val="100"/>
      <w:position w:val="-1"/>
      <w:sz w:val="24"/>
      <w:szCs w:val="24"/>
      <w:effect w:val="none"/>
      <w:vertAlign w:val="baseline"/>
      <w:cs w:val="0"/>
      <w:em w:val="none"/>
      <w:lang w:val="vi-VN" w:eastAsia="vi-VN"/>
    </w:rPr>
  </w:style>
  <w:style w:type="paragraph" w:styleId="Footer">
    <w:name w:val="footer"/>
    <w:basedOn w:val="Normal"/>
    <w:qFormat/>
    <w:pPr>
      <w:tabs>
        <w:tab w:val="center" w:pos="4680"/>
        <w:tab w:val="right" w:pos="9360"/>
      </w:tabs>
    </w:pPr>
  </w:style>
  <w:style w:type="character" w:customStyle="1" w:styleId="FooterChar">
    <w:name w:val="Footer Char"/>
    <w:rPr>
      <w:color w:val="000000"/>
      <w:w w:val="100"/>
      <w:position w:val="-1"/>
      <w:sz w:val="24"/>
      <w:szCs w:val="24"/>
      <w:effect w:val="none"/>
      <w:vertAlign w:val="baseline"/>
      <w:cs w:val="0"/>
      <w:em w:val="none"/>
      <w:lang w:val="vi-VN" w:eastAsia="vi-VN"/>
    </w:rPr>
  </w:style>
  <w:style w:type="paragraph" w:styleId="NormalWeb">
    <w:name w:val="Normal (Web)"/>
    <w:basedOn w:val="Normal"/>
    <w:uiPriority w:val="99"/>
    <w:qFormat/>
    <w:pPr>
      <w:widowControl/>
      <w:spacing w:before="100" w:beforeAutospacing="1" w:after="100" w:afterAutospacing="1"/>
    </w:pPr>
    <w:rPr>
      <w:rFonts w:ascii="Times New Roman" w:eastAsia="Times New Roman" w:hAnsi="Times New Roman" w:cs="Times New Roman"/>
      <w:color w:val="auto"/>
      <w:lang w:val="en-US" w:eastAsia="en-US"/>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color w:val="000000"/>
      <w:w w:val="100"/>
      <w:position w:val="-1"/>
      <w:effect w:val="none"/>
      <w:vertAlign w:val="baseline"/>
      <w:cs w:val="0"/>
      <w:em w:val="none"/>
      <w:lang w:val="vi-VN" w:eastAsia="vi-VN"/>
    </w:rPr>
  </w:style>
  <w:style w:type="paragraph" w:styleId="CommentSubject">
    <w:name w:val="annotation subject"/>
    <w:basedOn w:val="CommentText"/>
    <w:next w:val="CommentText"/>
    <w:qFormat/>
    <w:rPr>
      <w:b/>
      <w:bCs/>
    </w:rPr>
  </w:style>
  <w:style w:type="character" w:customStyle="1" w:styleId="CommentSubjectChar">
    <w:name w:val="Comment Subject Char"/>
    <w:rPr>
      <w:b/>
      <w:bCs/>
      <w:color w:val="000000"/>
      <w:w w:val="100"/>
      <w:position w:val="-1"/>
      <w:effect w:val="none"/>
      <w:vertAlign w:val="baseline"/>
      <w:cs w:val="0"/>
      <w:em w:val="none"/>
      <w:lang w:val="vi-VN" w:eastAsia="vi-VN"/>
    </w:rPr>
  </w:style>
  <w:style w:type="paragraph" w:styleId="BalloonText">
    <w:name w:val="Balloon Text"/>
    <w:basedOn w:val="Normal"/>
    <w:qFormat/>
    <w:rPr>
      <w:rFonts w:ascii="Tahoma" w:eastAsia="Times New Roman" w:hAnsi="Tahoma" w:cs="Tahoma"/>
      <w:sz w:val="16"/>
      <w:szCs w:val="16"/>
    </w:rPr>
  </w:style>
  <w:style w:type="character" w:customStyle="1" w:styleId="BalloonTextChar">
    <w:name w:val="Balloon Text Char"/>
    <w:rPr>
      <w:rFonts w:ascii="Tahoma" w:eastAsia="Times New Roman" w:hAnsi="Tahoma" w:cs="Tahoma"/>
      <w:color w:val="000000"/>
      <w:w w:val="100"/>
      <w:position w:val="-1"/>
      <w:sz w:val="16"/>
      <w:szCs w:val="16"/>
      <w:effect w:val="none"/>
      <w:vertAlign w:val="baseline"/>
      <w:cs w:val="0"/>
      <w:em w:val="none"/>
      <w:lang w:val="vi-VN" w:eastAsia="vi-VN"/>
    </w:rPr>
  </w:style>
  <w:style w:type="character" w:styleId="Emphasis">
    <w:name w:val="Emphasis"/>
    <w:rPr>
      <w:i/>
      <w:iCs/>
      <w:w w:val="100"/>
      <w:position w:val="-1"/>
      <w:effect w:val="none"/>
      <w:vertAlign w:val="baseline"/>
      <w:cs w:val="0"/>
      <w:em w:val="none"/>
    </w:rPr>
  </w:style>
  <w:style w:type="paragraph" w:customStyle="1" w:styleId="Char4">
    <w:name w:val="Char4"/>
    <w:basedOn w:val="Normal"/>
    <w:pPr>
      <w:widowControl/>
      <w:spacing w:after="160" w:line="240" w:lineRule="atLeast"/>
    </w:pPr>
    <w:rPr>
      <w:rFonts w:ascii="Arial" w:eastAsia="Times New Roman" w:hAnsi="Arial" w:cs="Arial"/>
      <w:color w:val="auto"/>
      <w:sz w:val="22"/>
      <w:szCs w:val="22"/>
      <w:lang w:val="en-US" w:eastAsia="en-US"/>
    </w:rPr>
  </w:style>
  <w:style w:type="paragraph" w:styleId="Subtitle">
    <w:name w:val="Subtitle"/>
    <w:basedOn w:val="Normal"/>
    <w:next w:val="Normal"/>
    <w:pPr>
      <w:spacing w:after="60"/>
      <w:jc w:val="center"/>
    </w:pPr>
    <w:rPr>
      <w:rFonts w:ascii="Calibri" w:eastAsia="Calibri" w:hAnsi="Calibri" w:cs="Calibri"/>
    </w:rPr>
  </w:style>
  <w:style w:type="character" w:customStyle="1" w:styleId="SubtitleChar">
    <w:name w:val="Subtitle Char"/>
    <w:rPr>
      <w:rFonts w:ascii="Calibri Light" w:eastAsia="Times New Roman" w:hAnsi="Calibri Light" w:cs="Times New Roman"/>
      <w:color w:val="000000"/>
      <w:w w:val="100"/>
      <w:position w:val="-1"/>
      <w:sz w:val="24"/>
      <w:szCs w:val="24"/>
      <w:effect w:val="none"/>
      <w:vertAlign w:val="baseline"/>
      <w:cs w:val="0"/>
      <w:em w:val="none"/>
      <w:lang w:val="vi-VN" w:eastAsia="vi-VN"/>
    </w:rPr>
  </w:style>
  <w:style w:type="character" w:customStyle="1" w:styleId="apple-converted-space">
    <w:name w:val="apple-converted-space"/>
    <w:rPr>
      <w:w w:val="100"/>
      <w:position w:val="-1"/>
      <w:effect w:val="none"/>
      <w:vertAlign w:val="baseline"/>
      <w:cs w:val="0"/>
      <w:em w:val="non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rPr>
      <w:rFonts w:ascii="Times New Roman" w:eastAsia="Times New Roman" w:hAnsi="Times New Roman" w:cs="Times New Roman"/>
    </w:rPr>
    <w:tblPr>
      <w:tblStyleRowBandSize w:val="1"/>
      <w:tblStyleColBandSize w:val="1"/>
    </w:tblPr>
  </w:style>
  <w:style w:type="table" w:customStyle="1" w:styleId="a2">
    <w:basedOn w:val="TableNormal"/>
    <w:rPr>
      <w:rFonts w:ascii="Times New Roman" w:eastAsia="Times New Roman" w:hAnsi="Times New Roman" w:cs="Times New Roman"/>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53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BC+bA8vuHnF27GPanpDK+7RB8+A==">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</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AACF72-C9D6-4338-A3B4-D751D46BEBF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44B58F6-73A6-4FD8-B0B0-C99EA3C6DCD5}"/>
</file>

<file path=customXml/itemProps4.xml><?xml version="1.0" encoding="utf-8"?>
<ds:datastoreItem xmlns:ds="http://schemas.openxmlformats.org/officeDocument/2006/customXml" ds:itemID="{106A4160-737B-43D3-946E-09ED04A55741}"/>
</file>

<file path=customXml/itemProps5.xml><?xml version="1.0" encoding="utf-8"?>
<ds:datastoreItem xmlns:ds="http://schemas.openxmlformats.org/officeDocument/2006/customXml" ds:itemID="{2D572F9C-4042-450F-973D-64867629F3EC}"/>
</file>

<file path=docProps/app.xml><?xml version="1.0" encoding="utf-8"?>
<Properties xmlns="http://schemas.openxmlformats.org/officeDocument/2006/extended-properties" xmlns:vt="http://schemas.openxmlformats.org/officeDocument/2006/docPropsVTypes">
  <Template>Normal</Template>
  <TotalTime>2</TotalTime>
  <Pages>30</Pages>
  <Words>10494</Words>
  <Characters>59818</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LawSoft</dc:creator>
  <cp:lastModifiedBy>Đoàn Thị Thu Hương</cp:lastModifiedBy>
  <cp:revision>3</cp:revision>
  <cp:lastPrinted>2021-08-02T02:15:00Z</cp:lastPrinted>
  <dcterms:created xsi:type="dcterms:W3CDTF">2021-08-03T10:30:00Z</dcterms:created>
  <dcterms:modified xsi:type="dcterms:W3CDTF">2021-08-03T10:31:00Z</dcterms:modified>
</cp:coreProperties>
</file>